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ՏՆՏԵՍՈՂ ԼԱՄՊԵՐԻ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ՏՆՏԵՍՈՂ ԼԱՄՊԵՐԻ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ՏՆՏԵՍՈՂ ԼԱՄՊԵՐԻ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ՏՆՏԵՍՈՂ ԼԱՄՊԵՐԻ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ԱԳՆ-ԷԱՃԱՊՁԲ-24/05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ԱԳՆ-ԷԱՃԱՊՁԲ-24/05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ԱԳՆ-ԷԱՃԱՊՁԲ-24/05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Նոմինալ հզորություն -14.0 – 16.0 W
Հզորության գործակից » 0.9
Մուտքային լարում - AC 220V
Լուսային հոսք– 2100 - 2300 lm
Լույսի ցրման անկյուն - 190 °
Էֆեկտիվություն » 140 lm/W
Գունային ջերմաստիճան - 6500 K
Գունափոխանցման գործակից ≥ 83
Գունային ստաբիլության գործակից ≤ 5 sdcm
Աշխատանքային ռեսուրս - 50000 ժամ
Միջավայրից պաշտպանության աստիճան (IP) -IP20
Աշխատանքային ջերմաստիճանի տիրույթ -20 … +50 °C
Լամպի երկարություն - 1200 mm
Կոթառ G13
Երաշխիք - 3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Կնքվելիք համաձայանագիրը ուժի մեջ մտնելուց հետո 90-րդ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