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2023.08.25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ՀՀ արտաքին գործերի նախարարություն</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Հանրապետության հրապարակ Կառավարական տուն 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ОБЪЯВЛЕННЫЙ С ЦЕЛЬЮ ПРИОБРЕТЕНИЯ ЛАМПЫ НАРУЖНОГО ОСВЕЩЕНИЯ ДЛЯ НУЖД МИНИСТЕРСТВА ИНОСТРННЫХ ДЕЛ РА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Մարտիկ Նալբանդյան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m.nalbandyan@mfa.am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060620583</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ՀՀ արտաքին գործերի նախարարություն</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ԱԳՆ-ԷԱՃԱՊՁԲ-23/10</w:t>
      </w:r>
      <w:r w:rsidRPr="00F32D53">
        <w:rPr>
          <w:rFonts w:ascii="Calibri" w:hAnsi="Calibri" w:cstheme="minorHAnsi"/>
          <w:i/>
        </w:rPr>
        <w:br/>
      </w:r>
      <w:r w:rsidRPr="00F32D53">
        <w:rPr>
          <w:rFonts w:ascii="Calibri" w:hAnsi="Calibri" w:cstheme="minorHAnsi"/>
          <w:szCs w:val="20"/>
          <w:lang w:val="af-ZA"/>
        </w:rPr>
        <w:t>2023.08.25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ՀՀ արտաքին գործերի նախարարություն</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ՀՀ արտաքին գործերի նախարարություն</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ОБЪЯВЛЕННЫЙ С ЦЕЛЬЮ ПРИОБРЕТЕНИЯ ЛАМПЫ НАРУЖНОГО ОСВЕЩЕНИЯ ДЛЯ НУЖД МИНИСТЕРСТВА ИНОСТРННЫХ ДЕЛ РА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ОБЪЯВЛЕННЫЙ С ЦЕЛЬЮ ПРИОБРЕТЕНИЯ ЛАМПЫ НАРУЖНОГО ОСВЕЩЕНИЯ ДЛЯ НУЖД МИНИСТЕРСТВА ИНОСТРННЫХ ДЕЛ РА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ՀՀ արտաքին գործերի նախարարություն</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ԱԳՆ-ԷԱՃԱՊՁԲ-23/10</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m.nalbandyan@mfa.am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ОБЪЯВЛЕННЫЙ С ЦЕЛЬЮ ПРИОБРЕТЕНИЯ ЛАМПЫ НАРУЖНОГО ОСВЕЩЕНИЯ ДЛЯ НУЖД МИНИСТЕРСТВА ИНОСТРННЫХ ДЕЛ РА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12:30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385.98</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4.08</w:t>
      </w:r>
      <w:r w:rsidRPr="00F32D53">
        <w:rPr>
          <w:rFonts w:ascii="Calibri" w:hAnsi="Calibri" w:cstheme="minorHAnsi"/>
          <w:szCs w:val="22"/>
        </w:rPr>
        <w:t xml:space="preserve"> драмом, евро </w:t>
      </w:r>
      <w:r w:rsidR="00991780" w:rsidRPr="00F32D53">
        <w:rPr>
          <w:rFonts w:ascii="Calibri" w:hAnsi="Calibri" w:cstheme="minorHAnsi"/>
          <w:lang w:val="af-ZA"/>
        </w:rPr>
        <w:t>416.97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2023.09.08. 12:30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ԱԳՆ-ԷԱՃԱՊՁԲ-23/10</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sidR="00E93C04" w:rsidRPr="00F32D53">
        <w:rPr>
          <w:rFonts w:ascii="Calibri" w:hAnsi="Calibri" w:cstheme="minorHAnsi"/>
          <w:sz w:val="23"/>
          <w:szCs w:val="23"/>
          <w:lang w:val="af-ZA"/>
        </w:rPr>
        <w:t>ԱԳՆ-ԷԱՃԱՊՁԲ-23/10</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'ԱԳՆ-ԷԱՃԱՊՁԲ-23/10'</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ԱԳՆ-ԷԱՃԱՊՁԲ-23/10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արտաքին գործերի նախարարություն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"ԱԳՆ-ԷԱՃԱՊՁԲ-23/10"*</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ՀՀ արտաքին գործերի նախարարություն</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ԱԳՆ-ԷԱՃԱՊՁԲ-23/10</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ԱԳՆ-ԷԱՃԱՊՁԲ-23/10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ԱԳՆ-ԷԱՃԱՊՁԲ-23/10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^paymanagir:0_ru^</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^paymanagir:1_ru^</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^paymanagir:2_ru^</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____</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^paymanagir:5_ru^(^paymanagir:6_ru^)</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^paymanagir:7_ru^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^paymanagir:8_ru^</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^paymanagir:9_ru^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^paymanagir:10_ru^</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^paymanagir:11_ru^</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^paymanagir:13_ru^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^paymanagir:14_ru^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^paymanagir:15_ru^</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^paymanagir:16_ru^</w:t>
      </w:r>
    </w:p>
    <w:p w:rsidR="004E55B0" w:rsidRPr="00E4651F" w:rsidRDefault="004E55B0" w:rsidP="004E55B0">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^paymanagir:18_ru^</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^paymanagir:19_ru^</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^paymanagir:20_ru^</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^paymanagir:21_ru^</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Светильники наружного освещения для административного здания  Министерство иностранных дел РА гр. по адресу: г. Ереван, В. Саргсяна 3, включая демонтаж существующих и установку новых светильников. гарантия  1 год
1.  Прожектор светодиодный. Размеры 150x150xհ160мм, количество светодиодов- 1 шт типа COB, рабочее напряжение 110-240В, мощьность- 30 Вт, выходной световой поток светильника- 2480 лм,  угол пучка света- 30°, цветовая температура- CCT 4000K, индекс цветопередачи- CRI»80, коэффициент элипса МакАдама - SDCM ≤3, уровень зашиты от окружающей среды- IP66, коэффициент пульсации «5%, рабочий ресурс- не меньше, чем 50.000 ч, гарантия  1 год: Цвет корпуса - RAL7004 25 шт.
2. Прожектор светодиодный. Размеры 166x56xհ165мм, количество светодиодов - 3 шт, рабочее напряжение 100-240В, мощность - 12 Вт, выходной световой поток светильника - 1050 лм,  угол пучка света - 15х30°, цветовая температура - CCT 4000K, индекс цветопередачи - CRI»80, коэффициент элипса МакАдама SDCM ≤3, уровень зашиты от окружающей среды - IP66, коэффициент пульсации «5%, рабочий ресурс - не меньше, чем 50.000 ч, гарантия 1 год: Цвет корпуса - RAL9003 153 шт.
3. Прожектор светодиодный. Размеры 162x198x235мм, количество светодиодов- 5 шт, рабочее напряжение 100-240В, мощность - 45 Вт, выходной световой поток светильника - 3875 лм,  угол пучка света - 5х20°, цветовая температура - CCT 4000K, индекс цветопередачи - CRI»80, коэффициент элипса МакАдама SDCM ≤3, уровень зашиты от окружающей среды - IP66, коэффициент пульсации «5%, рабочий ресурс - не меньше, чем 50.000 ч, гарантия 1 год: Цвет корпуса - RAL9004 20 шт.
4. Прожектор светодиодный. Размеры 500x60x110мм, количество светодиодов - 10 шт, рабочее напряжение 100-240В, мощность - 48 Вт, выходной световой поток светильника - 3920лм,  угол пучка света - 5х20°, цветовая температура - CCT 4000K, индекс цветопередачи - CRI»80, коэффициент элипса МакАдама SDCM ≤3, уровень зашиты от окружающей среды - IP66, коэффициент пульсации «5%, рабочий ресурс- не меньше, чем 50.000 ч, гарантия 1 год: Цвет корпуса - RAL9005 46 шт.
5.Прожектор светодиодный. Размеры 154x120x160мм, количество светодиодов - 1 шт типа СОВ, рабочее напряжение 100-240В, мощность - 20 Вт, выходной световой поток светильника - 1740лм,  угол пучка света - 20°, цветовая температура - CCT 4000K, индекс цветопередачи - CRI»80, коэффициент элипса МакАдама SDCM ≤3, уровень зашиты от окружающей среды- IP66, коэффициент пульсации «5%, рабочий ресурс - не меньше, чем 50.000 ч, гарантия՝ 1 год: Цвет корпуса - RAL9006 8 шт.
6. Прожектор светодиодный. Размеры 1000x25x28мм, количество светодиодов - 18 шт, рабочее напряжение 24В, мощность - 18 Вт, выходной световой поток светильника - 1680лм,  угол пучка света - 10х60°, цветовая температура - CCT 4000K, индекс цветопередачи - CRI»80, коэффициент элипса МакАдама  SDCM ≤3, уровень зашиты от окружающей среды - IP66, коэффициент пульсации «5%, рабочий ресурс - не меньше, чем 50.000 ч, гарантия  1 год: Цвет корпуса - RAL9007 2 шт.
7.  Прожектор светодиодный. Размеры 371x200x202мм,  рабочее напряжение 180-240В, мощность - 120 Вт, выходной световой поток светильника - 19100лм,  угол пучка света - 90°, цветовая температура - CCT 4000K, индекс цветопередачи - CRI»80, коэффициент элипса МакАдама SDCM ≤3, уровень зашиты от окружающей среды - IP66, коэффициент пульсации «5%, рабочий ресурс - не меньше, чем 50.000 ч, гарантия 1 год: Цвет корпуса - RAL9008 6 шт.
8.  Светильник грунтовый, светодиодный. Размеры D260xh195мм,  количество светодиодов - 24 шт., рабочее напряжение 100-240В, мощность - 40 Вт, выходной световой поток светильника - 3440лм,  угол пучка света - 12°, цветовая температура - CCT 4000K, индекс цветопередачи - CRI»80, коэффициент элипса МакАдама  SDCM ≤3, уровень зашиты от окружающей среды - IP66, коэффициент пульсации «5%, рабочий ресурс - не меньше, чем 50.000 ч, гарантия 1 год: Цвет корпуса - RAL9009 6 шт.
9.  Светодиодная лента в силиконовой оболочке, с уровенем зашиты от окружающей среды IP65. Размеры W13xh5мм, с возможностью непрерывного одностороннего подключения 50м,  рабочее напряжение 24В, количество светодиодов - 70 шт/м, моность -  2Вт/м, выходной световой поток - 280лм/м,  цветовая температура - CCT 4000K, индекс цветопередачи - CRI»90, рабочий ресурс -не меньше, чем 50.000 ч, гарантия 1 год: 350 м.
10.  Драйвер для светодиодов: Входное напряжение 220В, выходное напряжение 24В, мощность 150 Вт, уровень зашиты от окружающей среды - IP67,  рабочий ресурс - не меньше, чем 50.000 ч, гарантия 1 год: 5 шт.
11. Драйвер для светодиодов: Входное напряжение 220В, выходное напряжение 24В, мощность 100 Вт, уровень зашиты от окружающей среды - IP67,  рабочий ресурс - не меньше, чем 50.000 ч, гарантия 1 год: 3 шт.
12.  Драйвер для светодиодов: Входное напряжение 220В, выходное напряжение 24В, мощность 60 Вт, уровень зашиты от окружающей среды - IP67,  рабочий ресурс  не меньше, чем 50.000 ч, гарантия - 1 год: 1 шт.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21-го дня после вступления договора в силу до 22.12.2023.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