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06661" w14:textId="77777777" w:rsidR="00103320" w:rsidRPr="00C977AB" w:rsidRDefault="007D1237" w:rsidP="001A0D00">
      <w:pPr>
        <w:tabs>
          <w:tab w:val="left" w:pos="3261"/>
        </w:tabs>
        <w:spacing w:before="3720" w:line="276" w:lineRule="auto"/>
        <w:contextualSpacing/>
        <w:jc w:val="center"/>
        <w:rPr>
          <w:rFonts w:ascii="GHEA Grapalat" w:hAnsi="GHEA Grapalat" w:cs="Sylfaen"/>
          <w:color w:val="auto"/>
        </w:rPr>
      </w:pPr>
      <w:r w:rsidRPr="00C977AB">
        <w:rPr>
          <w:rFonts w:ascii="GHEA Grapalat" w:hAnsi="GHEA Grapalat" w:cs="Sylfaen"/>
          <w:noProof/>
          <w:color w:val="auto"/>
          <w:lang w:val="en-US" w:eastAsia="en-US" w:bidi="ar-SA"/>
        </w:rPr>
        <w:drawing>
          <wp:inline distT="0" distB="0" distL="0" distR="0" wp14:anchorId="74A18965" wp14:editId="7420E006">
            <wp:extent cx="3420110" cy="3048000"/>
            <wp:effectExtent l="0" t="0" r="8890" b="0"/>
            <wp:docPr id="1" name="Picutre 1" descr="Սև և սպիտակ - Աշխարհի քարտեզի շուրջ դափնու երկու համաչափ ճյուղեր են" title="ՄԱԿ-ի լոգոտի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42011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48010" w14:textId="77777777" w:rsidR="00103320" w:rsidRPr="00C977AB" w:rsidRDefault="00103320" w:rsidP="00C977AB">
      <w:pPr>
        <w:pStyle w:val="Bodytext20"/>
        <w:shd w:val="clear" w:color="auto" w:fill="auto"/>
        <w:spacing w:before="0" w:after="160" w:line="276" w:lineRule="auto"/>
        <w:jc w:val="left"/>
        <w:rPr>
          <w:rFonts w:ascii="GHEA Grapalat" w:hAnsi="GHEA Grapalat"/>
          <w:sz w:val="24"/>
          <w:szCs w:val="24"/>
          <w:lang w:val="hy-AM"/>
        </w:rPr>
        <w:sectPr w:rsidR="00103320" w:rsidRPr="00C977AB" w:rsidSect="00C977AB">
          <w:footerReference w:type="default" r:id="rId7"/>
          <w:pgSz w:w="11907" w:h="16840" w:code="9"/>
          <w:pgMar w:top="1418" w:right="837" w:bottom="1418" w:left="1418" w:header="0" w:footer="6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noEndnote/>
          <w:titlePg/>
          <w:docGrid w:linePitch="360"/>
        </w:sectPr>
      </w:pPr>
    </w:p>
    <w:p w14:paraId="5B91C425" w14:textId="77777777" w:rsidR="00103320" w:rsidRPr="00C977AB" w:rsidRDefault="00103320" w:rsidP="00C977AB">
      <w:pPr>
        <w:pStyle w:val="BodyText1"/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977AB">
        <w:rPr>
          <w:rFonts w:ascii="GHEA Grapalat" w:hAnsi="GHEA Grapalat"/>
          <w:b/>
          <w:sz w:val="24"/>
          <w:szCs w:val="24"/>
          <w:lang w:val="hy-AM"/>
        </w:rPr>
        <w:lastRenderedPageBreak/>
        <w:t>«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ՀԱՇՄԱՆԴԱՄՈՒԹՅՈՒՆ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ՈՒՆԵՑՈՂ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ԱՆՁԱՆՑ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ԻՐԱՎՈՒՆՔՆԵՐԻ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ԿՈՆՎԵՆՑԻԱՅԻ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ԿԱՄԸՆՏԻՐ</w:t>
      </w:r>
      <w:r w:rsidRPr="00C977A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 w:cs="Sylfaen"/>
          <w:b/>
          <w:sz w:val="24"/>
          <w:szCs w:val="24"/>
          <w:lang w:val="hy-AM"/>
        </w:rPr>
        <w:t>ԱՐՁԱՆԱԳՐՈՒԹՅՈՒՆ</w:t>
      </w:r>
    </w:p>
    <w:p w14:paraId="021EB396" w14:textId="77777777" w:rsidR="00103320" w:rsidRPr="00C977AB" w:rsidRDefault="00103320" w:rsidP="00C977AB">
      <w:pPr>
        <w:pStyle w:val="Bodytext20"/>
        <w:shd w:val="clear" w:color="auto" w:fill="auto"/>
        <w:spacing w:before="8880" w:after="16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EDC236F" w14:textId="77777777" w:rsidR="00103320" w:rsidRPr="00C977AB" w:rsidRDefault="00103320" w:rsidP="00C977AB">
      <w:pPr>
        <w:pStyle w:val="Bodytext2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 w:cs="Sylfaen"/>
          <w:noProof/>
          <w:sz w:val="24"/>
          <w:szCs w:val="24"/>
        </w:rPr>
        <w:drawing>
          <wp:inline distT="0" distB="0" distL="0" distR="0" wp14:anchorId="2C3F3B98" wp14:editId="10DE01F9">
            <wp:extent cx="1531620" cy="1364615"/>
            <wp:effectExtent l="0" t="0" r="0" b="6985"/>
            <wp:docPr id="3" name="Picutre 1" descr="Սև և սպիտակ - Աշխարհի քարտեզի շուրջ դափնու երկու համաչափ ճյուղեր են" title="ՄԱԿ-ի լոգոտի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53162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83E09" w14:textId="77777777" w:rsidR="00103320" w:rsidRPr="00C977AB" w:rsidRDefault="00103320" w:rsidP="00C977AB">
      <w:pPr>
        <w:pStyle w:val="Picturecaption0"/>
        <w:shd w:val="clear" w:color="auto" w:fill="auto"/>
        <w:spacing w:after="160" w:line="276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C977AB">
        <w:rPr>
          <w:rFonts w:ascii="GHEA Grapalat" w:hAnsi="GHEA Grapalat"/>
          <w:b/>
          <w:sz w:val="24"/>
          <w:szCs w:val="24"/>
          <w:lang w:val="hy-AM"/>
        </w:rPr>
        <w:t>ՄԻԱՎՈՐՎԱԾ ԱԶԳԵՐԻ ԿԱԶՄԱԿԵՐՊՈՒԹՅՈՒՆ</w:t>
      </w:r>
    </w:p>
    <w:p w14:paraId="04808842" w14:textId="77777777" w:rsidR="00103320" w:rsidRPr="00C977AB" w:rsidRDefault="00103320" w:rsidP="00C977AB">
      <w:pPr>
        <w:pStyle w:val="Picturecaption0"/>
        <w:shd w:val="clear" w:color="auto" w:fill="auto"/>
        <w:spacing w:after="160" w:line="276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C977AB">
        <w:rPr>
          <w:rFonts w:ascii="GHEA Grapalat" w:hAnsi="GHEA Grapalat"/>
          <w:b/>
          <w:sz w:val="24"/>
          <w:szCs w:val="24"/>
          <w:lang w:val="hy-AM"/>
        </w:rPr>
        <w:t>2007 թ.</w:t>
      </w:r>
    </w:p>
    <w:p w14:paraId="51F80D2A" w14:textId="77777777" w:rsidR="00103320" w:rsidRPr="00C977AB" w:rsidRDefault="00103320" w:rsidP="00C977AB">
      <w:pPr>
        <w:spacing w:after="160" w:line="276" w:lineRule="auto"/>
        <w:jc w:val="center"/>
        <w:rPr>
          <w:rFonts w:ascii="GHEA Grapalat" w:hAnsi="GHEA Grapalat"/>
          <w:color w:val="auto"/>
        </w:rPr>
        <w:sectPr w:rsidR="00103320" w:rsidRPr="00C977AB" w:rsidSect="00C977AB">
          <w:pgSz w:w="11907" w:h="16840" w:code="9"/>
          <w:pgMar w:top="1418" w:right="837" w:bottom="1418" w:left="1418" w:header="0" w:footer="6" w:gutter="0"/>
          <w:cols w:space="720"/>
          <w:noEndnote/>
          <w:titlePg/>
          <w:docGrid w:linePitch="360"/>
        </w:sectPr>
      </w:pPr>
    </w:p>
    <w:p w14:paraId="341DDF26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0" w:name="bookmark0"/>
      <w:r w:rsidRPr="00C977AB">
        <w:rPr>
          <w:color w:val="auto"/>
          <w:sz w:val="24"/>
          <w:szCs w:val="24"/>
        </w:rPr>
        <w:lastRenderedPageBreak/>
        <w:t>«ՀԱՇՄԱՆԴԱՄՈՒԹՅՈՒՆ ՈՒՆԵՑՈՂ ԱՆՁԱՆՑ ԻՐԱՎՈՒՆՔՆԵՐԻ ՄԱՍԻՆ» ԿՈՆՎԵՆՑԻԱՅԻ ԿԱՄԸՆՏԻՐ ԱՐՁԱՆԱԳՐՈՒԹՅՈՒՆ</w:t>
      </w:r>
      <w:bookmarkEnd w:id="0"/>
    </w:p>
    <w:p w14:paraId="790674F1" w14:textId="77777777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i/>
          <w:sz w:val="24"/>
          <w:szCs w:val="24"/>
          <w:lang w:val="hy-AM"/>
        </w:rPr>
        <w:t>Սույն արձանագրության Կողմ պե</w:t>
      </w:r>
      <w:r w:rsidR="002D0CB5" w:rsidRPr="00C977AB">
        <w:rPr>
          <w:rFonts w:ascii="GHEA Grapalat" w:hAnsi="GHEA Grapalat"/>
          <w:i/>
          <w:sz w:val="24"/>
          <w:szCs w:val="24"/>
          <w:lang w:val="hy-AM"/>
        </w:rPr>
        <w:t>տությունները համաձայնել են հետև</w:t>
      </w:r>
      <w:r w:rsidRPr="00C977AB">
        <w:rPr>
          <w:rFonts w:ascii="GHEA Grapalat" w:hAnsi="GHEA Grapalat"/>
          <w:i/>
          <w:sz w:val="24"/>
          <w:szCs w:val="24"/>
          <w:lang w:val="hy-AM"/>
        </w:rPr>
        <w:t>յալի մասին.</w:t>
      </w:r>
    </w:p>
    <w:p w14:paraId="07C12DFA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" w:name="bookmark1"/>
      <w:r w:rsidRPr="00C977AB">
        <w:rPr>
          <w:color w:val="auto"/>
          <w:sz w:val="24"/>
          <w:szCs w:val="24"/>
        </w:rPr>
        <w:t>Հոդված 1</w:t>
      </w:r>
      <w:bookmarkEnd w:id="1"/>
    </w:p>
    <w:p w14:paraId="190D7D01" w14:textId="68B56666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Սույն արձանագրության Կողմ պետությունը (Կողմ պետություն) ճանաչում է Հաշմանդամություն ունեցող անձանց իրավունքների հարցերով կոմիտեի (Կոմ</w:t>
      </w:r>
      <w:r w:rsidR="002D0CB5" w:rsidRPr="00C977AB">
        <w:rPr>
          <w:rFonts w:ascii="GHEA Grapalat" w:hAnsi="GHEA Grapalat"/>
          <w:sz w:val="24"/>
          <w:szCs w:val="24"/>
          <w:lang w:val="hy-AM"/>
        </w:rPr>
        <w:t xml:space="preserve">իտե)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հանձնառությունը</w:t>
      </w:r>
      <w:r w:rsidR="002D0CB5" w:rsidRPr="00C977AB">
        <w:rPr>
          <w:rFonts w:ascii="GHEA Grapalat" w:hAnsi="GHEA Grapalat"/>
          <w:sz w:val="24"/>
          <w:szCs w:val="24"/>
          <w:lang w:val="hy-AM"/>
        </w:rPr>
        <w:t>՝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115DD2" w:rsidRPr="00C977AB">
        <w:rPr>
          <w:rFonts w:ascii="GHEA Grapalat" w:hAnsi="GHEA Grapalat"/>
          <w:sz w:val="24"/>
          <w:szCs w:val="24"/>
          <w:lang w:val="hy-AM"/>
        </w:rPr>
        <w:t>ստանա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լ</w:t>
      </w:r>
      <w:r w:rsidR="002D0CB5" w:rsidRPr="00C977AB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քննարկել իր իրավա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ս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ության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շրջանակում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գտնվող անհատների կամ անհա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տների խմբերի կողմից կամ անունից</w:t>
      </w:r>
      <w:r w:rsidR="00105A43" w:rsidRPr="00C977AB">
        <w:rPr>
          <w:rFonts w:ascii="GHEA Grapalat" w:hAnsi="GHEA Grapalat"/>
          <w:sz w:val="24"/>
          <w:szCs w:val="24"/>
          <w:lang w:val="hy-AM"/>
        </w:rPr>
        <w:t>՝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Կողմ պետության կողմից Կոնվենցիայի դրույթների խախտման զոհ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լինելու մասին ներկայացվող հաղորդումները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</w:p>
    <w:p w14:paraId="35815725" w14:textId="122635EB" w:rsidR="00103320" w:rsidRPr="00C977AB" w:rsidRDefault="002D0CB5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Կոմիտեն չի ընդունում որևէ հաղորդում</w:t>
      </w:r>
      <w:r w:rsidR="00103320" w:rsidRPr="00C977AB">
        <w:rPr>
          <w:rFonts w:ascii="GHEA Grapalat" w:hAnsi="GHEA Grapalat"/>
          <w:sz w:val="24"/>
          <w:szCs w:val="24"/>
          <w:lang w:val="hy-AM"/>
        </w:rPr>
        <w:t>, որը վերաբերում է սույն արձանագրության կողմ չհանդիսացող` Կոնվենցիայի Կողմ պետության:</w:t>
      </w:r>
      <w:r w:rsidR="00C33E2E" w:rsidRPr="00C977AB">
        <w:rPr>
          <w:rFonts w:ascii="GHEA Grapalat" w:hAnsi="GHEA Grapalat"/>
          <w:sz w:val="24"/>
          <w:szCs w:val="24"/>
          <w:lang w:val="hy-AM"/>
        </w:rPr>
        <w:t xml:space="preserve">  </w:t>
      </w:r>
    </w:p>
    <w:p w14:paraId="3DF900BB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2" w:name="bookmark2"/>
      <w:r w:rsidRPr="00C977AB">
        <w:rPr>
          <w:color w:val="auto"/>
          <w:sz w:val="24"/>
          <w:szCs w:val="24"/>
        </w:rPr>
        <w:t>Հոդված 2</w:t>
      </w:r>
      <w:bookmarkEnd w:id="2"/>
    </w:p>
    <w:p w14:paraId="149DDB0E" w14:textId="5CD8AD8F" w:rsidR="00103320" w:rsidRPr="00C977AB" w:rsidRDefault="002D0CB5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Կոմիտեն հաղորդում</w:t>
      </w:r>
      <w:r w:rsidR="00103320" w:rsidRPr="00C977AB">
        <w:rPr>
          <w:rFonts w:ascii="GHEA Grapalat" w:hAnsi="GHEA Grapalat"/>
          <w:sz w:val="24"/>
          <w:szCs w:val="24"/>
          <w:lang w:val="hy-AM"/>
        </w:rPr>
        <w:t>ն անընդունելի է համարում այն դեպքում, երբ</w:t>
      </w:r>
      <w:r w:rsidR="00C15783" w:rsidRPr="00C977AB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06E968C1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ա)</w:t>
      </w:r>
      <w:r w:rsidRPr="00C977AB">
        <w:rPr>
          <w:rFonts w:ascii="GHEA Grapalat" w:hAnsi="GHEA Grapalat"/>
          <w:sz w:val="24"/>
          <w:szCs w:val="24"/>
          <w:lang w:val="hy-AM"/>
        </w:rPr>
        <w:tab/>
      </w:r>
      <w:r w:rsidR="002D0CB5" w:rsidRPr="00C977AB">
        <w:rPr>
          <w:rFonts w:ascii="GHEA Grapalat" w:hAnsi="GHEA Grapalat"/>
          <w:sz w:val="24"/>
          <w:szCs w:val="24"/>
          <w:lang w:val="hy-AM"/>
        </w:rPr>
        <w:t>հաղորդումն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անանուն է,</w:t>
      </w:r>
    </w:p>
    <w:p w14:paraId="43645E39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բ)</w:t>
      </w:r>
      <w:r w:rsidRPr="00C977AB">
        <w:rPr>
          <w:rFonts w:ascii="GHEA Grapalat" w:hAnsi="GHEA Grapalat"/>
          <w:sz w:val="24"/>
          <w:szCs w:val="24"/>
          <w:lang w:val="hy-AM"/>
        </w:rPr>
        <w:tab/>
      </w:r>
      <w:r w:rsidR="002D0CB5" w:rsidRPr="00C977AB">
        <w:rPr>
          <w:rFonts w:ascii="GHEA Grapalat" w:hAnsi="GHEA Grapalat"/>
          <w:sz w:val="24"/>
          <w:szCs w:val="24"/>
          <w:lang w:val="hy-AM"/>
        </w:rPr>
        <w:t>հաղորդումն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այդպիսի </w:t>
      </w:r>
      <w:r w:rsidR="002D0CB5" w:rsidRPr="00C977AB">
        <w:rPr>
          <w:rFonts w:ascii="GHEA Grapalat" w:hAnsi="GHEA Grapalat"/>
          <w:sz w:val="24"/>
          <w:szCs w:val="24"/>
          <w:lang w:val="hy-AM"/>
        </w:rPr>
        <w:t>հաղորդումներ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ներկայացնելու իրավունքի չարաշահում է կամ սույն Կոնվենցիայի դրույթների հետ անհամատեղելի է,</w:t>
      </w:r>
    </w:p>
    <w:p w14:paraId="7C7F8DB1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գ)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նույն հարցն արդեն ուսումնասիրվել է Կոմիտեի կողմից կամ ուսումնասիրվել կամ ուսումնասիրվում է միջազգային քննության կամ կարգավորման այլ ընթացակարգով,</w:t>
      </w:r>
    </w:p>
    <w:p w14:paraId="446BA919" w14:textId="7F6EC6A0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դ)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չեն սպառվել իրավական պաշտպանության բոլոր հասանելի ներպետական միջոցները։ Այս կանոնը չի գործում այն դեպքում, երբ իրավական պաշտպանության միջոցների կիրառումն </w:t>
      </w:r>
      <w:r w:rsidR="00645B40" w:rsidRPr="00C977AB">
        <w:rPr>
          <w:rFonts w:ascii="GHEA Grapalat" w:hAnsi="GHEA Grapalat"/>
          <w:sz w:val="24"/>
          <w:szCs w:val="24"/>
          <w:lang w:val="hy-AM"/>
        </w:rPr>
        <w:t>անհիմն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ձգձգվում է</w:t>
      </w:r>
      <w:r w:rsidR="00C15783" w:rsidRPr="00C977AB">
        <w:rPr>
          <w:rFonts w:ascii="GHEA Grapalat" w:hAnsi="GHEA Grapalat"/>
          <w:sz w:val="24"/>
          <w:szCs w:val="24"/>
          <w:lang w:val="hy-AM"/>
        </w:rPr>
        <w:t>,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կամ հավանական չէ, որ կհանգեցնի արդյունավետ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պաշտպանության</w:t>
      </w:r>
      <w:r w:rsidRPr="00C977AB">
        <w:rPr>
          <w:rFonts w:ascii="GHEA Grapalat" w:hAnsi="GHEA Grapalat"/>
          <w:sz w:val="24"/>
          <w:szCs w:val="24"/>
          <w:lang w:val="hy-AM"/>
        </w:rPr>
        <w:t>,</w:t>
      </w:r>
    </w:p>
    <w:p w14:paraId="71431033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ե)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այն ակնհայտորեն անհիմն է կամ բավարար կերպով հիմնավորված չէ, կամ</w:t>
      </w:r>
    </w:p>
    <w:p w14:paraId="34D178DA" w14:textId="4735ED5F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զ)</w:t>
      </w:r>
      <w:r w:rsidRPr="00C977AB">
        <w:rPr>
          <w:rFonts w:ascii="GHEA Grapalat" w:hAnsi="GHEA Grapalat"/>
          <w:sz w:val="24"/>
          <w:szCs w:val="24"/>
          <w:lang w:val="hy-AM"/>
        </w:rPr>
        <w:tab/>
      </w:r>
      <w:r w:rsidR="00ED567C" w:rsidRPr="00C977AB">
        <w:rPr>
          <w:rFonts w:ascii="GHEA Grapalat" w:hAnsi="GHEA Grapalat"/>
          <w:sz w:val="24"/>
          <w:szCs w:val="24"/>
          <w:lang w:val="hy-AM"/>
        </w:rPr>
        <w:t>հաղորդման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առարկա փաստերը տեղի են ունեցել նախքան համապատասխան Կողմ պետության համար սույն արձանագրությ</w:t>
      </w:r>
      <w:r w:rsidR="00C15783" w:rsidRPr="00C977AB">
        <w:rPr>
          <w:rFonts w:ascii="GHEA Grapalat" w:hAnsi="GHEA Grapalat"/>
          <w:sz w:val="24"/>
          <w:szCs w:val="24"/>
          <w:lang w:val="hy-AM"/>
        </w:rPr>
        <w:t>ան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ուժի մեջ մտնելը, եթե այդ փաստերը չեն շարունակ</w:t>
      </w:r>
      <w:r w:rsidR="00C15783" w:rsidRPr="00C977AB">
        <w:rPr>
          <w:rFonts w:ascii="GHEA Grapalat" w:hAnsi="GHEA Grapalat"/>
          <w:sz w:val="24"/>
          <w:szCs w:val="24"/>
          <w:lang w:val="hy-AM"/>
        </w:rPr>
        <w:t>վ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ել  այդ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օրվանից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հետո:</w:t>
      </w:r>
    </w:p>
    <w:p w14:paraId="631614A4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3" w:name="bookmark3"/>
      <w:r w:rsidRPr="00C977AB">
        <w:rPr>
          <w:color w:val="auto"/>
          <w:sz w:val="24"/>
          <w:szCs w:val="24"/>
        </w:rPr>
        <w:t>Հոդված 3</w:t>
      </w:r>
      <w:bookmarkEnd w:id="3"/>
    </w:p>
    <w:p w14:paraId="6122C26D" w14:textId="087C3F3B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 xml:space="preserve">Սույն արձանագրության 2-րդ հոդվածի դրույթների համաձայն՝ Կոմիտեն իրեն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lastRenderedPageBreak/>
        <w:t>գաղտնի ներկայացված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ցանկացած </w:t>
      </w:r>
      <w:r w:rsidR="00ED567C" w:rsidRPr="00C977AB">
        <w:rPr>
          <w:rFonts w:ascii="GHEA Grapalat" w:hAnsi="GHEA Grapalat"/>
          <w:sz w:val="24"/>
          <w:szCs w:val="24"/>
          <w:lang w:val="hy-AM"/>
        </w:rPr>
        <w:t>հաղորդում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ներկայացնում է Կողմ պետության ուշադրությանը: Հաղորդ</w:t>
      </w:r>
      <w:r w:rsidR="00645B40" w:rsidRPr="00C977AB">
        <w:rPr>
          <w:rFonts w:ascii="GHEA Grapalat" w:hAnsi="GHEA Grapalat"/>
          <w:sz w:val="24"/>
          <w:szCs w:val="24"/>
          <w:lang w:val="hy-AM"/>
        </w:rPr>
        <w:t>ում</w:t>
      </w:r>
      <w:r w:rsidR="00E44F36" w:rsidRPr="00C977AB">
        <w:rPr>
          <w:rFonts w:ascii="GHEA Grapalat" w:hAnsi="GHEA Grapalat"/>
          <w:sz w:val="24"/>
          <w:szCs w:val="24"/>
          <w:lang w:val="hy-AM"/>
        </w:rPr>
        <w:t>ն</w:t>
      </w:r>
      <w:r w:rsidR="00645B40" w:rsidRPr="00C977AB">
        <w:rPr>
          <w:rFonts w:ascii="GHEA Grapalat" w:hAnsi="GHEA Grapalat"/>
          <w:sz w:val="24"/>
          <w:szCs w:val="24"/>
          <w:lang w:val="hy-AM"/>
        </w:rPr>
        <w:t xml:space="preserve"> ստացած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պետությունը վեց ամսվա ընթացքում գրավոր բացատրություններ կամ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 xml:space="preserve">պաշտոնական </w:t>
      </w:r>
      <w:r w:rsidR="00B668C2" w:rsidRPr="00C977AB">
        <w:rPr>
          <w:rFonts w:ascii="GHEA Grapalat" w:hAnsi="GHEA Grapalat"/>
          <w:sz w:val="24"/>
          <w:szCs w:val="24"/>
          <w:lang w:val="hy-AM"/>
        </w:rPr>
        <w:t xml:space="preserve">հայտարարություններ 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է ներկայացնում Կոմիտե՝ պարզաբանելով հարցը </w:t>
      </w:r>
      <w:r w:rsidR="00ED567C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իրավական պաշտպանության այն միջոցը, եթե այդպիսին առկա է, որը կարող էր </w:t>
      </w:r>
      <w:r w:rsidR="00B9471F" w:rsidRPr="00C977AB">
        <w:rPr>
          <w:rFonts w:ascii="GHEA Grapalat" w:hAnsi="GHEA Grapalat"/>
          <w:sz w:val="24"/>
          <w:szCs w:val="24"/>
          <w:lang w:val="hy-AM"/>
        </w:rPr>
        <w:t>ձեռնարկվել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այդ պետության կողմից:</w:t>
      </w:r>
    </w:p>
    <w:p w14:paraId="0D89AA30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4" w:name="bookmark4"/>
      <w:r w:rsidRPr="00C977AB">
        <w:rPr>
          <w:color w:val="auto"/>
          <w:sz w:val="24"/>
          <w:szCs w:val="24"/>
        </w:rPr>
        <w:t>Հոդված 4</w:t>
      </w:r>
      <w:bookmarkEnd w:id="4"/>
    </w:p>
    <w:p w14:paraId="7552BE10" w14:textId="0772EDA2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Հաղորդ</w:t>
      </w:r>
      <w:r w:rsidR="00ED567C" w:rsidRPr="00C977AB">
        <w:rPr>
          <w:rFonts w:ascii="GHEA Grapalat" w:hAnsi="GHEA Grapalat"/>
          <w:sz w:val="24"/>
          <w:szCs w:val="24"/>
          <w:lang w:val="hy-AM"/>
        </w:rPr>
        <w:t>ում</w:t>
      </w:r>
      <w:r w:rsidR="00E44F36" w:rsidRPr="00C977AB">
        <w:rPr>
          <w:rFonts w:ascii="GHEA Grapalat" w:hAnsi="GHEA Grapalat"/>
          <w:sz w:val="24"/>
          <w:szCs w:val="24"/>
          <w:lang w:val="hy-AM"/>
        </w:rPr>
        <w:t>ն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645B40" w:rsidRPr="00C977AB">
        <w:rPr>
          <w:rFonts w:ascii="GHEA Grapalat" w:hAnsi="GHEA Grapalat"/>
          <w:sz w:val="24"/>
          <w:szCs w:val="24"/>
          <w:lang w:val="hy-AM"/>
        </w:rPr>
        <w:t>ստանա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լուց հետո </w:t>
      </w:r>
      <w:r w:rsidR="00ED567C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մինչ</w:t>
      </w:r>
      <w:r w:rsidR="003D0D46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ըստ էության որոշում կայացնելը՝ ցանկացած պահի, Կոմիտեն կարող է համապատասխան Կողմ պետության</w:t>
      </w:r>
      <w:r w:rsidR="00C13F7B" w:rsidRPr="00C977AB">
        <w:rPr>
          <w:rFonts w:ascii="GHEA Grapalat" w:hAnsi="GHEA Grapalat"/>
          <w:sz w:val="24"/>
          <w:szCs w:val="24"/>
          <w:lang w:val="hy-AM"/>
        </w:rPr>
        <w:t>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անհապաղ քննարկ</w:t>
      </w:r>
      <w:r w:rsidR="00C13F7B" w:rsidRPr="00C977AB">
        <w:rPr>
          <w:rFonts w:ascii="GHEA Grapalat" w:hAnsi="GHEA Grapalat"/>
          <w:sz w:val="24"/>
          <w:szCs w:val="24"/>
          <w:lang w:val="hy-AM"/>
        </w:rPr>
        <w:t xml:space="preserve">ելու համար </w:t>
      </w:r>
      <w:r w:rsidRPr="00C977AB">
        <w:rPr>
          <w:rFonts w:ascii="GHEA Grapalat" w:hAnsi="GHEA Grapalat"/>
          <w:sz w:val="24"/>
          <w:szCs w:val="24"/>
          <w:lang w:val="hy-AM"/>
        </w:rPr>
        <w:t>փոխանցել պահանջ</w:t>
      </w:r>
      <w:r w:rsidR="00C13F7B" w:rsidRPr="00C977AB">
        <w:rPr>
          <w:rFonts w:ascii="GHEA Grapalat" w:hAnsi="GHEA Grapalat"/>
          <w:sz w:val="24"/>
          <w:szCs w:val="24"/>
          <w:lang w:val="hy-AM"/>
        </w:rPr>
        <w:t>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այն մասին, որ Կողմ պետությունը ձեռնարկի այնպիսի միջանկյալ միջոցներ, որոնք կարող են անհրաժեշտ լինել ենթադրյալ խախտումների զոհին կամ զոհերին պատճառվող հնարավոր անդառնալի վնասից խուսափելու համար:</w:t>
      </w:r>
    </w:p>
    <w:p w14:paraId="025268B9" w14:textId="671CADA5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Կոմիտեի՝ սույն հոդվածի 1-ին պարբերությ</w:t>
      </w:r>
      <w:r w:rsidR="00E44F36" w:rsidRPr="00C977AB">
        <w:rPr>
          <w:rFonts w:ascii="GHEA Grapalat" w:hAnsi="GHEA Grapalat"/>
          <w:sz w:val="24"/>
          <w:szCs w:val="24"/>
          <w:lang w:val="hy-AM"/>
        </w:rPr>
        <w:t>ան մեջ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սահմանված հայեցողական լիազորությունների իրականացումը չի ենթադրում</w:t>
      </w:r>
      <w:r w:rsidR="003D0D46" w:rsidRPr="00C977AB">
        <w:rPr>
          <w:rFonts w:ascii="GHEA Grapalat" w:hAnsi="GHEA Grapalat"/>
          <w:sz w:val="24"/>
          <w:szCs w:val="24"/>
          <w:lang w:val="hy-AM"/>
        </w:rPr>
        <w:t xml:space="preserve"> հաղորդմ</w:t>
      </w:r>
      <w:r w:rsidR="00BF5341" w:rsidRPr="00C977AB">
        <w:rPr>
          <w:rFonts w:ascii="GHEA Grapalat" w:hAnsi="GHEA Grapalat"/>
          <w:sz w:val="24"/>
          <w:szCs w:val="24"/>
          <w:lang w:val="hy-AM"/>
        </w:rPr>
        <w:t>ան ընդունմ</w:t>
      </w:r>
      <w:r w:rsidRPr="00C977AB">
        <w:rPr>
          <w:rFonts w:ascii="GHEA Grapalat" w:hAnsi="GHEA Grapalat"/>
          <w:sz w:val="24"/>
          <w:szCs w:val="24"/>
          <w:lang w:val="hy-AM"/>
        </w:rPr>
        <w:t>ան կամ ըստ էության քննության վերաբերյալ որոշման կայացում:</w:t>
      </w:r>
    </w:p>
    <w:p w14:paraId="2E882CE4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5" w:name="bookmark5"/>
      <w:r w:rsidRPr="00C977AB">
        <w:rPr>
          <w:color w:val="auto"/>
          <w:sz w:val="24"/>
          <w:szCs w:val="24"/>
        </w:rPr>
        <w:t>Հոդված 5</w:t>
      </w:r>
      <w:bookmarkEnd w:id="5"/>
    </w:p>
    <w:p w14:paraId="392EFCB3" w14:textId="2C145BE4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Սույն արձանագրութ</w:t>
      </w:r>
      <w:r w:rsidR="003D0D46" w:rsidRPr="00C977AB">
        <w:rPr>
          <w:rFonts w:ascii="GHEA Grapalat" w:hAnsi="GHEA Grapalat"/>
          <w:sz w:val="24"/>
          <w:szCs w:val="24"/>
          <w:lang w:val="hy-AM"/>
        </w:rPr>
        <w:t>յամբ նախատեսված հաղորդում</w:t>
      </w:r>
      <w:r w:rsidRPr="00C977AB">
        <w:rPr>
          <w:rFonts w:ascii="GHEA Grapalat" w:hAnsi="GHEA Grapalat"/>
          <w:sz w:val="24"/>
          <w:szCs w:val="24"/>
          <w:lang w:val="hy-AM"/>
        </w:rPr>
        <w:t>ներն ուսումնասիրելիս Կոմիտեն անց է կացնում դռնփակ նիստեր: Հաղորդ</w:t>
      </w:r>
      <w:r w:rsidR="00575360" w:rsidRPr="00C977AB">
        <w:rPr>
          <w:rFonts w:ascii="GHEA Grapalat" w:hAnsi="GHEA Grapalat"/>
          <w:sz w:val="24"/>
          <w:szCs w:val="24"/>
          <w:lang w:val="hy-AM"/>
        </w:rPr>
        <w:t>ում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ն ուսումնասիրելուց հետո Կոմիտեն իր առաջարկներն ու </w:t>
      </w:r>
      <w:r w:rsidR="00575360" w:rsidRPr="00C977AB">
        <w:rPr>
          <w:rFonts w:ascii="GHEA Grapalat" w:hAnsi="GHEA Grapalat"/>
          <w:sz w:val="24"/>
          <w:szCs w:val="24"/>
          <w:lang w:val="hy-AM"/>
        </w:rPr>
        <w:t>հանձնարարական-առաջարկները</w:t>
      </w:r>
      <w:r w:rsidRPr="00C977AB">
        <w:rPr>
          <w:rFonts w:ascii="GHEA Grapalat" w:hAnsi="GHEA Grapalat"/>
          <w:sz w:val="24"/>
          <w:szCs w:val="24"/>
          <w:lang w:val="hy-AM"/>
        </w:rPr>
        <w:t>, եթե այդպիսիք առկա են, ուղարկում է համապատասխան Կողմ պետությ</w:t>
      </w:r>
      <w:r w:rsidR="00DB2959" w:rsidRPr="00C977AB">
        <w:rPr>
          <w:rFonts w:ascii="GHEA Grapalat" w:hAnsi="GHEA Grapalat"/>
          <w:sz w:val="24"/>
          <w:szCs w:val="24"/>
          <w:lang w:val="hy-AM"/>
        </w:rPr>
        <w:t>անը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575360" w:rsidRPr="00C977AB">
        <w:rPr>
          <w:rFonts w:ascii="GHEA Grapalat" w:hAnsi="GHEA Grapalat"/>
          <w:sz w:val="24"/>
          <w:szCs w:val="24"/>
          <w:lang w:val="hy-AM"/>
        </w:rPr>
        <w:t xml:space="preserve">և </w:t>
      </w:r>
      <w:r w:rsidR="00EC6955" w:rsidRPr="00C977AB">
        <w:rPr>
          <w:rFonts w:ascii="GHEA Grapalat" w:hAnsi="GHEA Grapalat"/>
          <w:sz w:val="24"/>
          <w:szCs w:val="24"/>
          <w:lang w:val="hy-AM"/>
        </w:rPr>
        <w:t>հայտատու</w:t>
      </w:r>
      <w:r w:rsidR="00575360" w:rsidRPr="00C977AB">
        <w:rPr>
          <w:rFonts w:ascii="GHEA Grapalat" w:hAnsi="GHEA Grapalat"/>
          <w:sz w:val="24"/>
          <w:szCs w:val="24"/>
          <w:lang w:val="hy-AM"/>
        </w:rPr>
        <w:t>ին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</w:p>
    <w:p w14:paraId="5AA12FA6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6" w:name="bookmark6"/>
      <w:r w:rsidRPr="00C977AB">
        <w:rPr>
          <w:color w:val="auto"/>
          <w:sz w:val="24"/>
          <w:szCs w:val="24"/>
        </w:rPr>
        <w:t>Հոդված 6</w:t>
      </w:r>
      <w:bookmarkEnd w:id="6"/>
    </w:p>
    <w:p w14:paraId="74ADDE39" w14:textId="5F131A5E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pacing w:val="-4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pacing w:val="-4"/>
          <w:sz w:val="24"/>
          <w:szCs w:val="24"/>
          <w:lang w:val="hy-AM"/>
        </w:rPr>
        <w:tab/>
        <w:t>Եթե Կոմիտեն ստանում է հավաստի տեղեկություններ, որոնցում նշվում է Կողմ պետության կողմից Կոնվենցիայում սահմանված իրավունքների լուրջ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A75D04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841F07" w:rsidRPr="00C977AB">
        <w:rPr>
          <w:rFonts w:ascii="GHEA Grapalat" w:hAnsi="GHEA Grapalat"/>
          <w:sz w:val="24"/>
          <w:szCs w:val="24"/>
          <w:lang w:val="hy-AM"/>
        </w:rPr>
        <w:t>պարբերական</w:t>
      </w:r>
      <w:r w:rsidR="00DB2959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խախտումների մասին, ապա Կոմիտեն Կողմ պետությանն առաջարկում է համագործակցել տեղեկությունների ուսումնասիրության հարցում </w:t>
      </w:r>
      <w:r w:rsidR="00817262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այդ նպատակով ներկայացնել դիտարկումներ տվյալ տեղեկությունների վերաբերյալ:</w:t>
      </w:r>
    </w:p>
    <w:p w14:paraId="4D3338A0" w14:textId="2CE7AF61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Հաշվի առնելով ցանկացած դիտարկում, որը կարող է ներկայացնել համապատասխան Կողմ պետությունը, ինչպես նա</w:t>
      </w:r>
      <w:r w:rsidR="00817262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իրեն հասանելի ցանկացած այլ հավաստի տեղեկություն, Կոմիտեն կարող է իր մեկ կամ ավելի անդամներին հանձնարարել անցկացնել քննություն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անմիջապես զեկուցել</w:t>
      </w:r>
      <w:r w:rsidR="00CC5B55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A75D04" w:rsidRPr="00C977AB">
        <w:rPr>
          <w:rFonts w:ascii="GHEA Grapalat" w:hAnsi="GHEA Grapalat"/>
          <w:sz w:val="24"/>
          <w:szCs w:val="24"/>
          <w:lang w:val="hy-AM"/>
        </w:rPr>
        <w:t>իրեն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: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 xml:space="preserve">Այն դեպքում, երբ </w:t>
      </w:r>
      <w:r w:rsidR="00B668C2" w:rsidRPr="00C977AB">
        <w:rPr>
          <w:rFonts w:ascii="GHEA Grapalat" w:hAnsi="GHEA Grapalat"/>
          <w:sz w:val="24"/>
          <w:szCs w:val="24"/>
          <w:lang w:val="hy-AM"/>
        </w:rPr>
        <w:t>երաշխավորված է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, 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EC6955" w:rsidRPr="00C977AB">
        <w:rPr>
          <w:rFonts w:ascii="GHEA Grapalat" w:hAnsi="GHEA Grapalat"/>
          <w:sz w:val="24"/>
          <w:szCs w:val="24"/>
          <w:lang w:val="hy-AM"/>
        </w:rPr>
        <w:t xml:space="preserve">առկա է </w:t>
      </w:r>
      <w:r w:rsidRPr="00C977AB">
        <w:rPr>
          <w:rFonts w:ascii="GHEA Grapalat" w:hAnsi="GHEA Grapalat"/>
          <w:sz w:val="24"/>
          <w:szCs w:val="24"/>
          <w:lang w:val="hy-AM"/>
        </w:rPr>
        <w:t>Կողմ պետո</w:t>
      </w:r>
      <w:r w:rsidR="00EC6955" w:rsidRPr="00C977AB">
        <w:rPr>
          <w:rFonts w:ascii="GHEA Grapalat" w:hAnsi="GHEA Grapalat"/>
          <w:sz w:val="24"/>
          <w:szCs w:val="24"/>
          <w:lang w:val="hy-AM"/>
        </w:rPr>
        <w:t>ւթյան համաձայնությունը,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CC5B55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A75D04" w:rsidRPr="00C977AB">
        <w:rPr>
          <w:rFonts w:ascii="GHEA Grapalat" w:hAnsi="GHEA Grapalat"/>
          <w:sz w:val="24"/>
          <w:szCs w:val="24"/>
          <w:lang w:val="hy-AM"/>
        </w:rPr>
        <w:t xml:space="preserve">քննության շրջանակներում կարող է կատարվել այցելություն այդ պետության տարածք: </w:t>
      </w:r>
    </w:p>
    <w:p w14:paraId="41103F25" w14:textId="50759BED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lastRenderedPageBreak/>
        <w:t>3.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Այդպիսի քննության արդյունքներն ուսումնասիրելուց հետո</w:t>
      </w:r>
      <w:r w:rsidRPr="00C977AB">
        <w:rPr>
          <w:rFonts w:ascii="Calibri" w:hAnsi="Calibri" w:cs="Calibri"/>
          <w:sz w:val="24"/>
          <w:szCs w:val="24"/>
          <w:lang w:val="hy-AM"/>
        </w:rPr>
        <w:t> 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Կոմիտեն այդ արդյունքները ցանկացած մեկնաբանության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հանձնարարական-առաջարկի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հետ փոխանցում է համապատասխան Կողմ պետությ</w:t>
      </w:r>
      <w:r w:rsidR="00D9020D" w:rsidRPr="00C977AB">
        <w:rPr>
          <w:rFonts w:ascii="GHEA Grapalat" w:hAnsi="GHEA Grapalat"/>
          <w:sz w:val="24"/>
          <w:szCs w:val="24"/>
          <w:lang w:val="hy-AM"/>
        </w:rPr>
        <w:t>անը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</w:p>
    <w:p w14:paraId="2753534C" w14:textId="50A0AA7A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4.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Համապատասխան Կողմ պետությունն արդյունքները, մեկնաբանությունները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և</w:t>
      </w:r>
      <w:r w:rsidR="00016A53" w:rsidRPr="00C977A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E7330" w:rsidRPr="00C977AB">
        <w:rPr>
          <w:rFonts w:ascii="GHEA Grapalat" w:hAnsi="GHEA Grapalat"/>
          <w:sz w:val="24"/>
          <w:szCs w:val="24"/>
          <w:lang w:val="hy-AM"/>
        </w:rPr>
        <w:t>հանձնարարական-առաջարկ</w:t>
      </w:r>
      <w:r w:rsidR="00EC6955" w:rsidRPr="00C977AB">
        <w:rPr>
          <w:rFonts w:ascii="GHEA Grapalat" w:hAnsi="GHEA Grapalat"/>
          <w:sz w:val="24"/>
          <w:szCs w:val="24"/>
          <w:lang w:val="hy-AM"/>
        </w:rPr>
        <w:t>ներ</w:t>
      </w:r>
      <w:r w:rsidR="00D9020D" w:rsidRPr="00C977AB">
        <w:rPr>
          <w:rFonts w:ascii="GHEA Grapalat" w:hAnsi="GHEA Grapalat"/>
          <w:sz w:val="24"/>
          <w:szCs w:val="24"/>
          <w:lang w:val="hy-AM"/>
        </w:rPr>
        <w:t>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ստանալուց հետո՝ վեց ամսվա ընթացքում, Կոմիտե է ներկայացնում իր դիտարկումները:</w:t>
      </w:r>
    </w:p>
    <w:p w14:paraId="42AF50D1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5.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Այդպիսի քննությունն անցկացվում է գաղտնի,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վարույթի բոլոր փուլերում պետք է ձգտել համապատասխան Կողմ պետության 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հետ համագործակցության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</w:p>
    <w:p w14:paraId="5ABC4355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7" w:name="bookmark7"/>
      <w:r w:rsidRPr="00C977AB">
        <w:rPr>
          <w:color w:val="auto"/>
          <w:sz w:val="24"/>
          <w:szCs w:val="24"/>
        </w:rPr>
        <w:t>Հոդված 7</w:t>
      </w:r>
      <w:bookmarkEnd w:id="7"/>
    </w:p>
    <w:p w14:paraId="036FF2D1" w14:textId="5F2184DD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Կոմիտեն կարող է համապատասխան Կողմ պետությանն առաջարկել Կոնվենցիայի 35-րդ հոդվածով նախատեսված իր զեկույցում ներառել </w:t>
      </w:r>
      <w:r w:rsidR="00D448EF" w:rsidRPr="00C977AB">
        <w:rPr>
          <w:rFonts w:ascii="GHEA Grapalat" w:hAnsi="GHEA Grapalat"/>
          <w:sz w:val="24"/>
          <w:szCs w:val="24"/>
          <w:lang w:val="hy-AM"/>
        </w:rPr>
        <w:t xml:space="preserve">մանրամասն 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 xml:space="preserve">տեղեկություն </w:t>
      </w:r>
      <w:r w:rsidRPr="00C977AB">
        <w:rPr>
          <w:rFonts w:ascii="GHEA Grapalat" w:hAnsi="GHEA Grapalat"/>
          <w:sz w:val="24"/>
          <w:szCs w:val="24"/>
          <w:lang w:val="hy-AM"/>
        </w:rPr>
        <w:t>ցանկացած միջոցառման մասին, որը Կողմ պետությունը ձեռնարկել է սույն արձանագրության 6-րդ հոդվածով սահմանված կարգով իրականացված քննության</w:t>
      </w:r>
      <w:r w:rsidR="00A75D04" w:rsidRPr="00C977AB">
        <w:rPr>
          <w:rFonts w:ascii="GHEA Grapalat" w:hAnsi="GHEA Grapalat"/>
          <w:sz w:val="24"/>
          <w:szCs w:val="24"/>
          <w:lang w:val="hy-AM"/>
        </w:rPr>
        <w:t xml:space="preserve"> արդյունքում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  <w:r w:rsidR="00D9020D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49A9CC8" w14:textId="700F7027" w:rsidR="00F85ED2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Անհրաժեշտության դեպքում Կոմիտեն կարող է 6-րդ հոդվածի 4-րդ պարբերությ</w:t>
      </w:r>
      <w:r w:rsidR="00D9020D" w:rsidRPr="00C977AB">
        <w:rPr>
          <w:rFonts w:ascii="GHEA Grapalat" w:hAnsi="GHEA Grapalat"/>
          <w:sz w:val="24"/>
          <w:szCs w:val="24"/>
          <w:lang w:val="hy-AM"/>
        </w:rPr>
        <w:t>ան մեջ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նշված վեցամսյա ժամկետի ավարտից հետո համապատասխան Կողմ պետությանն առաջարկել իրեն տեղեկացնել այն միջոցառումների մասին, որոնք ձեռնարկվել են այդպիսի քննության</w:t>
      </w:r>
      <w:r w:rsidR="006F7AA6" w:rsidRPr="00C977AB">
        <w:rPr>
          <w:rFonts w:ascii="GHEA Grapalat" w:hAnsi="GHEA Grapalat"/>
          <w:sz w:val="24"/>
          <w:szCs w:val="24"/>
          <w:lang w:val="hy-AM"/>
        </w:rPr>
        <w:t xml:space="preserve"> արդյունքում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  <w:r w:rsidR="00F85ED2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A332AE8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8" w:name="bookmark8"/>
      <w:r w:rsidRPr="00C977AB">
        <w:rPr>
          <w:color w:val="auto"/>
          <w:sz w:val="24"/>
          <w:szCs w:val="24"/>
        </w:rPr>
        <w:t>Հոդված 8</w:t>
      </w:r>
      <w:bookmarkEnd w:id="8"/>
    </w:p>
    <w:p w14:paraId="4801EE0F" w14:textId="77777777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 xml:space="preserve">Յուրաքանչյուր Կողմ պետություն սույն արձանագրության ստորագրման կամ վավերացման կամ դրան միանալու պահին կարող է հայտարարել, որ չի ճանաչում 6-րդ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7-րդ հոդվածներով 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Կոմիտեին վերապահված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իրավասությունը:</w:t>
      </w:r>
    </w:p>
    <w:p w14:paraId="0D167EE2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9" w:name="bookmark9"/>
      <w:r w:rsidRPr="00C977AB">
        <w:rPr>
          <w:color w:val="auto"/>
          <w:sz w:val="24"/>
          <w:szCs w:val="24"/>
        </w:rPr>
        <w:t>Հոդված 9</w:t>
      </w:r>
      <w:bookmarkEnd w:id="9"/>
    </w:p>
    <w:p w14:paraId="330E57E1" w14:textId="77777777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Միավորված ազգերի կազմակերպության Գլխավոր քարտուղարը սույն արձանագրության ավանդապահն է։</w:t>
      </w:r>
    </w:p>
    <w:p w14:paraId="484E19EC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0" w:name="bookmark10"/>
      <w:r w:rsidRPr="00C977AB">
        <w:rPr>
          <w:color w:val="auto"/>
          <w:sz w:val="24"/>
          <w:szCs w:val="24"/>
        </w:rPr>
        <w:t>Հոդված 10</w:t>
      </w:r>
      <w:bookmarkEnd w:id="10"/>
      <w:r w:rsidR="00097848" w:rsidRPr="00C977AB">
        <w:rPr>
          <w:color w:val="auto"/>
          <w:sz w:val="24"/>
          <w:szCs w:val="24"/>
        </w:rPr>
        <w:t xml:space="preserve"> </w:t>
      </w:r>
    </w:p>
    <w:p w14:paraId="77453BA3" w14:textId="0EEB275B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 xml:space="preserve">Սույն արձանագրությունը բաց է Կոնվենցիան ստորագրած պետությունների </w:t>
      </w:r>
      <w:r w:rsidR="00016A53" w:rsidRPr="00C977AB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C977AB">
        <w:rPr>
          <w:rFonts w:ascii="GHEA Grapalat" w:hAnsi="GHEA Grapalat"/>
          <w:sz w:val="24"/>
          <w:szCs w:val="24"/>
          <w:lang w:val="hy-AM"/>
        </w:rPr>
        <w:t>տարածաշրջանային ինտեգրման կազմակերպությունների ստորագրման համար</w:t>
      </w:r>
      <w:r w:rsidR="00804216" w:rsidRPr="00C977AB">
        <w:rPr>
          <w:rFonts w:ascii="GHEA Grapalat" w:hAnsi="GHEA Grapalat"/>
          <w:sz w:val="24"/>
          <w:szCs w:val="24"/>
          <w:lang w:val="hy-AM"/>
        </w:rPr>
        <w:t>՝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Մի</w:t>
      </w:r>
      <w:r w:rsidR="00A618AB" w:rsidRPr="00C977AB">
        <w:rPr>
          <w:rFonts w:ascii="GHEA Grapalat" w:hAnsi="GHEA Grapalat"/>
          <w:sz w:val="24"/>
          <w:szCs w:val="24"/>
          <w:lang w:val="hy-AM"/>
        </w:rPr>
        <w:t>ա</w:t>
      </w:r>
      <w:r w:rsidRPr="00C977AB">
        <w:rPr>
          <w:rFonts w:ascii="GHEA Grapalat" w:hAnsi="GHEA Grapalat"/>
          <w:sz w:val="24"/>
          <w:szCs w:val="24"/>
          <w:lang w:val="hy-AM"/>
        </w:rPr>
        <w:t>վորված ազգերի կազմակերպության Նյու Յորքում գտնվող գլխամասային գրասենյակում</w:t>
      </w:r>
      <w:r w:rsidR="00804216" w:rsidRPr="00C977AB">
        <w:rPr>
          <w:rFonts w:ascii="GHEA Grapalat" w:hAnsi="GHEA Grapalat"/>
          <w:sz w:val="24"/>
          <w:szCs w:val="24"/>
          <w:lang w:val="hy-AM"/>
        </w:rPr>
        <w:t>,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2007 թվականի մարտի 30-ից:</w:t>
      </w:r>
    </w:p>
    <w:p w14:paraId="360DD24E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1" w:name="bookmark11"/>
      <w:r w:rsidRPr="00C977AB">
        <w:rPr>
          <w:color w:val="auto"/>
          <w:sz w:val="24"/>
          <w:szCs w:val="24"/>
        </w:rPr>
        <w:lastRenderedPageBreak/>
        <w:t>Հոդված 11</w:t>
      </w:r>
      <w:bookmarkEnd w:id="11"/>
    </w:p>
    <w:p w14:paraId="4B49B800" w14:textId="617B1A2B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Սույն արձանագրությունը ենթակա է վավերացման սույն արձանագրություն</w:t>
      </w:r>
      <w:r w:rsidR="00804216" w:rsidRPr="00C977AB">
        <w:rPr>
          <w:rFonts w:ascii="GHEA Grapalat" w:hAnsi="GHEA Grapalat"/>
          <w:sz w:val="24"/>
          <w:szCs w:val="24"/>
          <w:lang w:val="hy-AM"/>
        </w:rPr>
        <w:t>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ստորագրած այն պետությունների կողմից, որոնք վավերացրել են Կոնվենցիան կամ միացել են դրան: Այն ենթակա է սույն արձանագրություն</w:t>
      </w:r>
      <w:r w:rsidR="00804216" w:rsidRPr="00C977AB">
        <w:rPr>
          <w:rFonts w:ascii="GHEA Grapalat" w:hAnsi="GHEA Grapalat"/>
          <w:sz w:val="24"/>
          <w:szCs w:val="24"/>
          <w:lang w:val="hy-AM"/>
        </w:rPr>
        <w:t>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ստորագրած այն </w:t>
      </w:r>
      <w:r w:rsidRPr="00C977AB">
        <w:rPr>
          <w:rFonts w:ascii="GHEA Grapalat" w:hAnsi="GHEA Grapalat"/>
          <w:spacing w:val="-4"/>
          <w:sz w:val="24"/>
          <w:szCs w:val="24"/>
          <w:lang w:val="hy-AM"/>
        </w:rPr>
        <w:t>տարածաշրջանային ինտեգրման կազմակերպությունների պաշտոնական հաստատմանը, որոնք պաշտոնապես հաստատել են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Կոնվենցիան կամ միացել են դրան: Այն բաց է ցանկացած պետության կամ տարածաշրջանային ինտեգրման</w:t>
      </w:r>
      <w:r w:rsidR="006F7AA6" w:rsidRPr="00C977AB">
        <w:rPr>
          <w:rFonts w:ascii="GHEA Grapalat" w:hAnsi="GHEA Grapalat"/>
          <w:sz w:val="24"/>
          <w:szCs w:val="24"/>
          <w:lang w:val="hy-AM"/>
        </w:rPr>
        <w:t xml:space="preserve"> այն</w:t>
      </w:r>
      <w:r w:rsidR="007B6A05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/>
          <w:sz w:val="24"/>
          <w:szCs w:val="24"/>
          <w:lang w:val="hy-AM"/>
        </w:rPr>
        <w:t>կազմակերպության միանալու համար, որը վավերացրել, պաշտոնապես հաստատել է Կ</w:t>
      </w:r>
      <w:r w:rsidR="00FE4772" w:rsidRPr="00C977AB">
        <w:rPr>
          <w:rFonts w:ascii="GHEA Grapalat" w:hAnsi="GHEA Grapalat"/>
          <w:sz w:val="24"/>
          <w:szCs w:val="24"/>
          <w:lang w:val="hy-AM"/>
        </w:rPr>
        <w:t xml:space="preserve">ոնվենցիան կամ միացել է դրան, և </w:t>
      </w:r>
      <w:r w:rsidRPr="00C977AB">
        <w:rPr>
          <w:rFonts w:ascii="GHEA Grapalat" w:hAnsi="GHEA Grapalat"/>
          <w:sz w:val="24"/>
          <w:szCs w:val="24"/>
          <w:lang w:val="hy-AM"/>
        </w:rPr>
        <w:t>որը չի ստորագրել սույն արձանագրությունը:</w:t>
      </w:r>
    </w:p>
    <w:p w14:paraId="6624C4A5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2" w:name="bookmark12"/>
      <w:r w:rsidRPr="00C977AB">
        <w:rPr>
          <w:color w:val="auto"/>
          <w:sz w:val="24"/>
          <w:szCs w:val="24"/>
        </w:rPr>
        <w:t>Հոդված 12</w:t>
      </w:r>
      <w:bookmarkEnd w:id="12"/>
    </w:p>
    <w:p w14:paraId="2B98D651" w14:textId="51D7566F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«Տարածաշրջանային ինտեգրման կազմակերպություն» նշանակում է</w:t>
      </w:r>
      <w:r w:rsidR="007B6A05" w:rsidRPr="00C977AB">
        <w:rPr>
          <w:rFonts w:ascii="GHEA Grapalat" w:hAnsi="GHEA Grapalat"/>
          <w:sz w:val="24"/>
          <w:szCs w:val="24"/>
          <w:lang w:val="hy-AM"/>
        </w:rPr>
        <w:t>՝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տվյալ տարածաշրջանի ինքնիշխան պետություններից կազմված կազմակերպություն, որին դրա անդամ պետությունները փոխանցել են Կոնվենցիայով </w:t>
      </w:r>
      <w:r w:rsidR="00FE4772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սույն արձանագրությամբ կարգավորվող հարցերին առնչվող իրավասություն: Այդպիսի կազմակերպությունները պաշտոնական հաստատման կամ միանալու վերաբերյալ իրենց փաստաթղթերում հայտարարում են Կոնվենցիայով </w:t>
      </w:r>
      <w:r w:rsidR="00FE4772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սույն արձանագրությամբ կարգավորվող հարցերին առնչվող իրենց իրավասության շրջանակը: Նրանք հետագայում ավանդապահին տեղեկացնում են իրենց իրավասության շրջանակին վերաբերող ցանկացած էական փոփոխության մասին:</w:t>
      </w:r>
    </w:p>
    <w:p w14:paraId="2162BC3E" w14:textId="7D4B38A2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Սույն արձանագրությ</w:t>
      </w:r>
      <w:r w:rsidR="00A777F2" w:rsidRPr="00C977AB">
        <w:rPr>
          <w:rFonts w:ascii="GHEA Grapalat" w:hAnsi="GHEA Grapalat"/>
          <w:sz w:val="24"/>
          <w:szCs w:val="24"/>
          <w:lang w:val="hy-AM"/>
        </w:rPr>
        <w:t>ան մեջ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«Կողմ պետություններ»-ին կատարված հղումները վերաբերում են այդպիսի կազմակերպություններին՝ իրենց իրավասության սահմաններում:</w:t>
      </w:r>
    </w:p>
    <w:p w14:paraId="63DC4FB1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3.</w:t>
      </w:r>
      <w:r w:rsidRPr="00C977AB">
        <w:rPr>
          <w:rFonts w:ascii="GHEA Grapalat" w:hAnsi="GHEA Grapalat"/>
          <w:sz w:val="24"/>
          <w:szCs w:val="24"/>
          <w:lang w:val="hy-AM"/>
        </w:rPr>
        <w:tab/>
      </w:r>
      <w:r w:rsidR="00A77813" w:rsidRPr="00C977AB">
        <w:rPr>
          <w:rFonts w:ascii="GHEA Grapalat" w:hAnsi="GHEA Grapalat"/>
          <w:sz w:val="24"/>
          <w:szCs w:val="24"/>
          <w:lang w:val="hy-AM"/>
        </w:rPr>
        <w:t>Սույն արձանագրության 13-րդ հոդվածի 1-ին պարբերության և 15-րդ հոդվածի 2-րդ պարբերության նպատակների իրականացման համար տ</w:t>
      </w:r>
      <w:r w:rsidRPr="00C977AB">
        <w:rPr>
          <w:rFonts w:ascii="GHEA Grapalat" w:hAnsi="GHEA Grapalat"/>
          <w:sz w:val="24"/>
          <w:szCs w:val="24"/>
          <w:lang w:val="hy-AM"/>
        </w:rPr>
        <w:t>արածաշրջանային ինտեգրման կազմակերպության կողմից ի պահ հանձնված որ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>է փաստաթուղթ հաշվի չի առնվում:</w:t>
      </w:r>
    </w:p>
    <w:p w14:paraId="15EA29D9" w14:textId="49C88C79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4.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Տարածաշրջանային ինտեգրման կազմակերպություններն իրենց իրավասության շրջանակներում գտնվո</w:t>
      </w:r>
      <w:r w:rsidR="007E2531" w:rsidRPr="00C977AB">
        <w:rPr>
          <w:rFonts w:ascii="GHEA Grapalat" w:hAnsi="GHEA Grapalat"/>
          <w:sz w:val="24"/>
          <w:szCs w:val="24"/>
          <w:lang w:val="hy-AM"/>
        </w:rPr>
        <w:t>ղ հարցերի հետ կապված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կարող են իրա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ցնել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Կողմ պետությունների </w:t>
      </w:r>
      <w:r w:rsidR="007E2531" w:rsidRPr="00C977AB">
        <w:rPr>
          <w:rFonts w:ascii="GHEA Grapalat" w:hAnsi="GHEA Grapalat"/>
          <w:sz w:val="24"/>
          <w:szCs w:val="24"/>
          <w:lang w:val="hy-AM"/>
        </w:rPr>
        <w:t>հանդիպման ընթացքում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քվեարկելու իրենց իրավունքը սույն արձանագրության Կողմ հանդիսացող իրենց անդամ պետությունների թվին հավասար ձայներով։ Այդպ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իսի կազմակերպությունը չի իրա</w:t>
      </w:r>
      <w:r w:rsidR="007E2531" w:rsidRPr="00C977AB">
        <w:rPr>
          <w:rFonts w:ascii="GHEA Grapalat" w:hAnsi="GHEA Grapalat"/>
          <w:sz w:val="24"/>
          <w:szCs w:val="24"/>
          <w:lang w:val="hy-AM"/>
        </w:rPr>
        <w:t>ցնում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քվեարկելու</w:t>
      </w:r>
      <w:r w:rsidR="007E2531" w:rsidRPr="00C977AB">
        <w:rPr>
          <w:rFonts w:ascii="GHEA Grapalat" w:hAnsi="GHEA Grapalat"/>
          <w:sz w:val="24"/>
          <w:szCs w:val="24"/>
          <w:lang w:val="hy-AM"/>
        </w:rPr>
        <w:t xml:space="preserve"> իր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իրավունքը, եթե իր անդամ պ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ետություններից որ</w:t>
      </w:r>
      <w:r w:rsidR="00D92366" w:rsidRPr="00C977AB">
        <w:rPr>
          <w:rFonts w:ascii="GHEA Grapalat" w:hAnsi="GHEA Grapalat"/>
          <w:sz w:val="24"/>
          <w:szCs w:val="24"/>
          <w:lang w:val="hy-AM"/>
        </w:rPr>
        <w:t>և</w:t>
      </w:r>
      <w:r w:rsidR="00A77813" w:rsidRPr="00C977AB">
        <w:rPr>
          <w:rFonts w:ascii="GHEA Grapalat" w:hAnsi="GHEA Grapalat"/>
          <w:sz w:val="24"/>
          <w:szCs w:val="24"/>
          <w:lang w:val="hy-AM"/>
        </w:rPr>
        <w:t>է մեկն իր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ացնում է այդ իրավունքը,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C977AB">
        <w:rPr>
          <w:rFonts w:ascii="GHEA Grapalat" w:hAnsi="GHEA Grapalat"/>
          <w:sz w:val="24"/>
          <w:szCs w:val="24"/>
          <w:lang w:val="hy-AM"/>
        </w:rPr>
        <w:t>հակառակը:</w:t>
      </w:r>
    </w:p>
    <w:p w14:paraId="53541690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3" w:name="bookmark13"/>
      <w:r w:rsidRPr="00C977AB">
        <w:rPr>
          <w:color w:val="auto"/>
          <w:sz w:val="24"/>
          <w:szCs w:val="24"/>
        </w:rPr>
        <w:lastRenderedPageBreak/>
        <w:t>Հոդված 13</w:t>
      </w:r>
      <w:bookmarkEnd w:id="13"/>
    </w:p>
    <w:p w14:paraId="5BF27D02" w14:textId="533BDDDC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Կոնվենցիան ուժի մեջ մտնելու կարգի համաձայն՝ սույն արձանագրությունն ուժի մեջ է մտնում տասներորդ վավերագիրը կամ միանալու մասին փաստաթուղթն ի պահ հանձնելուց հետո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>՝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երեսուներորդ օրը:</w:t>
      </w:r>
    </w:p>
    <w:p w14:paraId="00B2A8BF" w14:textId="2A816D92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</w:r>
      <w:r w:rsidR="003109A4" w:rsidRPr="00C977AB">
        <w:rPr>
          <w:rFonts w:ascii="GHEA Grapalat" w:hAnsi="GHEA Grapalat"/>
          <w:sz w:val="24"/>
          <w:szCs w:val="24"/>
          <w:lang w:val="hy-AM"/>
        </w:rPr>
        <w:t>Ս</w:t>
      </w:r>
      <w:r w:rsidRPr="00C977AB">
        <w:rPr>
          <w:rFonts w:ascii="GHEA Grapalat" w:hAnsi="GHEA Grapalat"/>
          <w:sz w:val="24"/>
          <w:szCs w:val="24"/>
          <w:lang w:val="hy-AM"/>
        </w:rPr>
        <w:t>ույն արձանագրությունը վավերացնող, պաշտոնապես հաստատող կամ դրան միացող յուրաքանչյուր պետության կամ տարածաշրջանային ինտեգրման կազմակերպության համար</w:t>
      </w:r>
      <w:r w:rsidR="003109A4" w:rsidRPr="00C977AB">
        <w:rPr>
          <w:rFonts w:ascii="GHEA Grapalat" w:hAnsi="GHEA Grapalat"/>
          <w:sz w:val="24"/>
          <w:szCs w:val="24"/>
          <w:lang w:val="hy-AM"/>
        </w:rPr>
        <w:t xml:space="preserve"> այդպիսի տասներորդ փաստաթուղթն ի պահ հանձնելուց հետո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արձանագրությունն ուժի մեջ է մտնում իր այդ փաստաթուղթն ի պահ հանձնելուց հետո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>՝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երեսուներորդ օրը:</w:t>
      </w:r>
    </w:p>
    <w:p w14:paraId="610053E4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4" w:name="bookmark14"/>
      <w:r w:rsidRPr="00C977AB">
        <w:rPr>
          <w:color w:val="auto"/>
          <w:sz w:val="24"/>
          <w:szCs w:val="24"/>
        </w:rPr>
        <w:t>Հոդված 14</w:t>
      </w:r>
      <w:bookmarkEnd w:id="14"/>
    </w:p>
    <w:p w14:paraId="649F4DFC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Սույն արձանագրության առարկայի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նպատակի հետ անհամատեղելի վերապահումներ չեն թույլատրվում:</w:t>
      </w:r>
    </w:p>
    <w:p w14:paraId="4E7FA106" w14:textId="77777777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>Վերապահումները կարող են ցանկացած պահի հանվել:</w:t>
      </w:r>
    </w:p>
    <w:p w14:paraId="11515347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5" w:name="bookmark15"/>
      <w:r w:rsidRPr="00C977AB">
        <w:rPr>
          <w:color w:val="auto"/>
          <w:sz w:val="24"/>
          <w:szCs w:val="24"/>
        </w:rPr>
        <w:t>Հոդված 15</w:t>
      </w:r>
      <w:bookmarkEnd w:id="15"/>
    </w:p>
    <w:p w14:paraId="77F47413" w14:textId="669DED85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1.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Ցանկացած Կողմ պետություն կարող է 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>առաջարկել սույն արձանագրությ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>ան մեջ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 xml:space="preserve"> կատարել փոփոխություն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="00540262" w:rsidRPr="00C977AB">
        <w:rPr>
          <w:rFonts w:ascii="GHEA Grapalat" w:hAnsi="GHEA Grapalat"/>
          <w:sz w:val="24"/>
          <w:szCs w:val="24"/>
          <w:lang w:val="hy-AM"/>
        </w:rPr>
        <w:t xml:space="preserve">այդ առաջարկությունը </w:t>
      </w:r>
      <w:r w:rsidRPr="00C977AB">
        <w:rPr>
          <w:rFonts w:ascii="GHEA Grapalat" w:hAnsi="GHEA Grapalat"/>
          <w:sz w:val="24"/>
          <w:szCs w:val="24"/>
          <w:lang w:val="hy-AM"/>
        </w:rPr>
        <w:t>ներկայացնել Միավորված ազգերի կազմակերպության Գլխավոր քարտուղարին։ Գլխավոր քարտուղարը ցանկացած առաջարկվող փոփոխություն ուղարկում է Կողմ պետություններին՝ խնդրելով, որ նրանք ծանուցեն՝ արդյո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>՞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ք հավանություն են տալիս </w:t>
      </w:r>
      <w:r w:rsidR="004E1A1D" w:rsidRPr="00C977AB">
        <w:rPr>
          <w:rFonts w:ascii="GHEA Grapalat" w:hAnsi="GHEA Grapalat"/>
          <w:sz w:val="24"/>
          <w:szCs w:val="24"/>
          <w:lang w:val="hy-AM"/>
        </w:rPr>
        <w:t>հրավիրել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 xml:space="preserve"> Կողմ պետությունների </w:t>
      </w:r>
      <w:r w:rsidR="004E1A1D" w:rsidRPr="00C977AB">
        <w:rPr>
          <w:rFonts w:ascii="GHEA Grapalat" w:hAnsi="GHEA Grapalat"/>
          <w:sz w:val="24"/>
          <w:szCs w:val="24"/>
          <w:lang w:val="hy-AM"/>
        </w:rPr>
        <w:t>հանդիպում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>՝ առաջարկները քննարկելու և դրանց վերաբերյալ որոշում կայացնելու նպատակով: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Այն դեպքում, երբ այդ հաղորդ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>ումն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ուղարկելու օրվանից չորս ամսվա ընթացքում Կողմ պետությունների առնվազն մեկ երրորդը հավանություն է տալիս այդպիսի </w:t>
      </w:r>
      <w:r w:rsidR="00C5092C" w:rsidRPr="00C977AB">
        <w:rPr>
          <w:rFonts w:ascii="GHEA Grapalat" w:hAnsi="GHEA Grapalat"/>
          <w:sz w:val="24"/>
          <w:szCs w:val="24"/>
          <w:lang w:val="hy-AM"/>
        </w:rPr>
        <w:t>հանդիպում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անցկացնելուն, Գլխավոր քարտուղարը </w:t>
      </w:r>
      <w:r w:rsidR="00C5092C" w:rsidRPr="00C977AB">
        <w:rPr>
          <w:rFonts w:ascii="GHEA Grapalat" w:hAnsi="GHEA Grapalat"/>
          <w:sz w:val="24"/>
          <w:szCs w:val="24"/>
          <w:lang w:val="hy-AM"/>
        </w:rPr>
        <w:t>հրավիր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C5092C" w:rsidRPr="00C977AB">
        <w:rPr>
          <w:rFonts w:ascii="GHEA Grapalat" w:hAnsi="GHEA Grapalat"/>
          <w:sz w:val="24"/>
          <w:szCs w:val="24"/>
          <w:lang w:val="hy-AM"/>
        </w:rPr>
        <w:t>հանդիպում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/>
          <w:sz w:val="24"/>
          <w:szCs w:val="24"/>
          <w:lang w:val="hy-AM"/>
        </w:rPr>
        <w:t>Միավորված ազգեր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>ի կազմակերպության հովանու ներքո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։ Ներկա գտնվող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քվեարկությանը մասնակցած Կողմ պետությունների 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 xml:space="preserve">ձայների </w:t>
      </w:r>
      <w:r w:rsidRPr="00C977AB">
        <w:rPr>
          <w:rFonts w:ascii="GHEA Grapalat" w:hAnsi="GHEA Grapalat"/>
          <w:sz w:val="24"/>
          <w:szCs w:val="24"/>
          <w:lang w:val="hy-AM"/>
        </w:rPr>
        <w:t>երկու երրորդ մեծամասնությամբ ընդունված ցանկացած փոփոխություն Գլխավոր քարտուղար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>ը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ներկայաց</w:t>
      </w:r>
      <w:r w:rsidR="00EA71DC" w:rsidRPr="00C977AB">
        <w:rPr>
          <w:rFonts w:ascii="GHEA Grapalat" w:hAnsi="GHEA Grapalat"/>
          <w:sz w:val="24"/>
          <w:szCs w:val="24"/>
          <w:lang w:val="hy-AM"/>
        </w:rPr>
        <w:t>ն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ում է Գլխավոր ասամբլեայի հաստատմանը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այնուհետ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>՝ բոլոր Կողմ պետությունների ընդունմանը։</w:t>
      </w:r>
    </w:p>
    <w:p w14:paraId="78160053" w14:textId="1B4E7989" w:rsidR="00103320" w:rsidRPr="00C977AB" w:rsidRDefault="00103320" w:rsidP="00C977AB">
      <w:pPr>
        <w:pStyle w:val="BodyText1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2.</w:t>
      </w:r>
      <w:r w:rsidRPr="00C977AB">
        <w:rPr>
          <w:rFonts w:ascii="GHEA Grapalat" w:hAnsi="GHEA Grapalat"/>
          <w:sz w:val="24"/>
          <w:szCs w:val="24"/>
          <w:lang w:val="hy-AM"/>
        </w:rPr>
        <w:tab/>
        <w:t xml:space="preserve">Սույն հոդվածի 1-ին պարբերության համապատասխան ընդունված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հաստատված փոփոխությունն ուժի մեջ է մտնում ի պահ հանձնված</w:t>
      </w:r>
      <w:r w:rsidR="00A37D8F" w:rsidRPr="00C977AB">
        <w:rPr>
          <w:rFonts w:ascii="GHEA Grapalat" w:hAnsi="GHEA Grapalat"/>
          <w:sz w:val="24"/>
          <w:szCs w:val="24"/>
          <w:lang w:val="hy-AM"/>
        </w:rPr>
        <w:t>՝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ընդունման մասին փաստաթղթերի թիվը փոփոխությունն ընդունելու օրվա դրությամբ Կողմ պետությունների ընդհանուր թվի երկու երրորդին հասնելուց հետո</w:t>
      </w:r>
      <w:r w:rsidR="00A37D8F" w:rsidRPr="00C977AB">
        <w:rPr>
          <w:rFonts w:ascii="GHEA Grapalat" w:hAnsi="GHEA Grapalat"/>
          <w:sz w:val="24"/>
          <w:szCs w:val="24"/>
          <w:lang w:val="hy-AM"/>
        </w:rPr>
        <w:t>՝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երեսուներորդ օրը: Դրանից հետո փոփոխությունը ցանկացած Կողմ պետության համար ուժի մեջ է մտնում </w:t>
      </w:r>
      <w:r w:rsidRPr="00C977AB">
        <w:rPr>
          <w:rFonts w:ascii="GHEA Grapalat" w:hAnsi="GHEA Grapalat"/>
          <w:sz w:val="24"/>
          <w:szCs w:val="24"/>
          <w:lang w:val="hy-AM"/>
        </w:rPr>
        <w:lastRenderedPageBreak/>
        <w:t xml:space="preserve">ընդունման մասին փաստաթուղթն ի պահ հանձնելու </w:t>
      </w:r>
      <w:r w:rsidR="005259F7" w:rsidRPr="00C977AB">
        <w:rPr>
          <w:rFonts w:ascii="GHEA Grapalat" w:hAnsi="GHEA Grapalat"/>
          <w:sz w:val="24"/>
          <w:szCs w:val="24"/>
          <w:lang w:val="hy-AM"/>
        </w:rPr>
        <w:t xml:space="preserve">օրվան </w:t>
      </w:r>
      <w:r w:rsidRPr="00C977AB">
        <w:rPr>
          <w:rFonts w:ascii="GHEA Grapalat" w:hAnsi="GHEA Grapalat"/>
          <w:sz w:val="24"/>
          <w:szCs w:val="24"/>
          <w:lang w:val="hy-AM"/>
        </w:rPr>
        <w:t>հաջորդող երեսուներորդ օրը: Փոփոխությունը պարտադիր է միայն այն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 xml:space="preserve"> ընդունած</w:t>
      </w:r>
      <w:r w:rsidRPr="00C977AB">
        <w:rPr>
          <w:rFonts w:ascii="GHEA Grapalat" w:hAnsi="GHEA Grapalat"/>
          <w:sz w:val="24"/>
          <w:szCs w:val="24"/>
          <w:lang w:val="hy-AM"/>
        </w:rPr>
        <w:t xml:space="preserve"> Կողմ պետությունն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>երի համար</w:t>
      </w:r>
      <w:r w:rsidRPr="00C977AB">
        <w:rPr>
          <w:rFonts w:ascii="GHEA Grapalat" w:hAnsi="GHEA Grapalat"/>
          <w:sz w:val="24"/>
          <w:szCs w:val="24"/>
          <w:lang w:val="hy-AM"/>
        </w:rPr>
        <w:t>:</w:t>
      </w:r>
    </w:p>
    <w:p w14:paraId="7F176111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6" w:name="bookmark16"/>
      <w:r w:rsidRPr="00C977AB">
        <w:rPr>
          <w:color w:val="auto"/>
          <w:sz w:val="24"/>
          <w:szCs w:val="24"/>
        </w:rPr>
        <w:t>Հոդված 16</w:t>
      </w:r>
      <w:bookmarkEnd w:id="16"/>
    </w:p>
    <w:p w14:paraId="3EF3BF30" w14:textId="74CD7F32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 xml:space="preserve">Կողմ պետությունը կարող է չեղյալ հայտարարել սույն արձանագրության </w:t>
      </w:r>
      <w:r w:rsidR="00540262" w:rsidRPr="00C977AB">
        <w:rPr>
          <w:rFonts w:ascii="GHEA Grapalat" w:hAnsi="GHEA Grapalat"/>
          <w:sz w:val="24"/>
          <w:szCs w:val="24"/>
          <w:lang w:val="hy-AM"/>
        </w:rPr>
        <w:t xml:space="preserve">գործողությունն </w:t>
      </w:r>
      <w:r w:rsidRPr="00C977AB">
        <w:rPr>
          <w:rFonts w:ascii="GHEA Grapalat" w:hAnsi="GHEA Grapalat"/>
          <w:sz w:val="24"/>
          <w:szCs w:val="24"/>
          <w:lang w:val="hy-AM"/>
        </w:rPr>
        <w:t>իր նկատմամբ Միավորված ազգերի կազմակերպության Գլխավոր քարտուղարին գրավոր ծանուցելու միջոցով։ Չեղյալ հայտարարելն ուժի մեջ է մտնում չեղյալ հայտարարելու մասին ծանուցումը Գ</w:t>
      </w:r>
      <w:r w:rsidR="00105BE4" w:rsidRPr="00C977AB">
        <w:rPr>
          <w:rFonts w:ascii="GHEA Grapalat" w:hAnsi="GHEA Grapalat"/>
          <w:sz w:val="24"/>
          <w:szCs w:val="24"/>
          <w:lang w:val="hy-AM"/>
        </w:rPr>
        <w:t xml:space="preserve">լխավոր քարտուղարի ստանալու օրվանից մեկ տարի </w:t>
      </w:r>
      <w:r w:rsidR="00D13F00" w:rsidRPr="00C977AB">
        <w:rPr>
          <w:rFonts w:ascii="GHEA Grapalat" w:hAnsi="GHEA Grapalat"/>
          <w:sz w:val="24"/>
          <w:szCs w:val="24"/>
          <w:lang w:val="hy-AM"/>
        </w:rPr>
        <w:t>անց</w:t>
      </w:r>
      <w:r w:rsidRPr="00C977AB">
        <w:rPr>
          <w:rFonts w:ascii="GHEA Grapalat" w:hAnsi="GHEA Grapalat"/>
          <w:sz w:val="24"/>
          <w:szCs w:val="24"/>
          <w:lang w:val="hy-AM"/>
        </w:rPr>
        <w:t>։</w:t>
      </w:r>
      <w:r w:rsidR="00C33E2E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7FA7193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7" w:name="bookmark17"/>
      <w:r w:rsidRPr="00C977AB">
        <w:rPr>
          <w:color w:val="auto"/>
          <w:sz w:val="24"/>
          <w:szCs w:val="24"/>
        </w:rPr>
        <w:t>Հոդված 17</w:t>
      </w:r>
      <w:bookmarkEnd w:id="17"/>
    </w:p>
    <w:p w14:paraId="4DE3E5C6" w14:textId="77777777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Սույն արձանագրության տեքստը հասանելի է դարձվում մատչելի ձ</w:t>
      </w:r>
      <w:r w:rsidR="00D92366" w:rsidRPr="00C977AB">
        <w:rPr>
          <w:rFonts w:ascii="GHEA Grapalat" w:hAnsi="GHEA Grapalat"/>
          <w:sz w:val="24"/>
          <w:szCs w:val="24"/>
          <w:lang w:val="hy-AM"/>
        </w:rPr>
        <w:t>և</w:t>
      </w:r>
      <w:r w:rsidRPr="00C977AB">
        <w:rPr>
          <w:rFonts w:ascii="GHEA Grapalat" w:hAnsi="GHEA Grapalat"/>
          <w:sz w:val="24"/>
          <w:szCs w:val="24"/>
          <w:lang w:val="hy-AM"/>
        </w:rPr>
        <w:t>աչափերով:</w:t>
      </w:r>
    </w:p>
    <w:p w14:paraId="3AF2C0CF" w14:textId="77777777" w:rsidR="00103320" w:rsidRPr="00C977AB" w:rsidRDefault="00103320" w:rsidP="00C977AB">
      <w:pPr>
        <w:pStyle w:val="Heading1"/>
        <w:spacing w:line="276" w:lineRule="auto"/>
        <w:rPr>
          <w:color w:val="auto"/>
          <w:sz w:val="24"/>
          <w:szCs w:val="24"/>
        </w:rPr>
      </w:pPr>
      <w:bookmarkStart w:id="18" w:name="bookmark18"/>
      <w:r w:rsidRPr="00C977AB">
        <w:rPr>
          <w:color w:val="auto"/>
          <w:sz w:val="24"/>
          <w:szCs w:val="24"/>
        </w:rPr>
        <w:t>Հոդված 18</w:t>
      </w:r>
      <w:bookmarkEnd w:id="18"/>
    </w:p>
    <w:p w14:paraId="0DDBA3E9" w14:textId="77777777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 xml:space="preserve">Սույն արձանագրության արաբերեն, չինարեն, անգլերեն, ֆրանսերեն, ռուսերեն </w:t>
      </w:r>
      <w:r w:rsidR="00BD7754" w:rsidRPr="00C977AB">
        <w:rPr>
          <w:rFonts w:ascii="GHEA Grapalat" w:hAnsi="GHEA Grapalat"/>
          <w:sz w:val="24"/>
          <w:szCs w:val="24"/>
          <w:lang w:val="hy-AM"/>
        </w:rPr>
        <w:t>և</w:t>
      </w:r>
      <w:r w:rsidR="00DF0507" w:rsidRPr="00C977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77AB">
        <w:rPr>
          <w:rFonts w:ascii="GHEA Grapalat" w:hAnsi="GHEA Grapalat"/>
          <w:sz w:val="24"/>
          <w:szCs w:val="24"/>
          <w:lang w:val="hy-AM"/>
        </w:rPr>
        <w:t>իսպաներեն տեքստերը հավասարազոր են։</w:t>
      </w:r>
    </w:p>
    <w:p w14:paraId="46F09ACC" w14:textId="77777777" w:rsidR="006A3745" w:rsidRPr="00C977AB" w:rsidRDefault="006A3745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3E2BEBE6" w14:textId="655347A6" w:rsidR="00103320" w:rsidRPr="00C977AB" w:rsidRDefault="0010332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77AB">
        <w:rPr>
          <w:rFonts w:ascii="GHEA Grapalat" w:hAnsi="GHEA Grapalat"/>
          <w:sz w:val="24"/>
          <w:szCs w:val="24"/>
          <w:lang w:val="hy-AM"/>
        </w:rPr>
        <w:t>Ի ՎԿԱՅՈՒԹՅՈՒՆ ՈՐԻ` ներքոստորագրյալ լիազոր ներկայացուցիչները, պատշաճ լիազորված լինելով իրենց համապատասխան կառավարությունների կողմից, ստորագրեցին սույն արձանագրությունը:</w:t>
      </w:r>
    </w:p>
    <w:p w14:paraId="3605B09F" w14:textId="20C374E2" w:rsidR="00704FC4" w:rsidRDefault="00C33E2E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977AB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14:paraId="0567C863" w14:textId="20414225" w:rsidR="001A0D00" w:rsidRDefault="001A0D00" w:rsidP="00C977AB">
      <w:pPr>
        <w:pStyle w:val="BodyText1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0293588A" w14:textId="5AF72049" w:rsidR="001A0D00" w:rsidRPr="001A0D00" w:rsidRDefault="001A0D00" w:rsidP="001A0D00">
      <w:pPr>
        <w:pStyle w:val="BodyText1"/>
        <w:shd w:val="clear" w:color="auto" w:fill="auto"/>
        <w:spacing w:after="160" w:line="276" w:lineRule="auto"/>
        <w:ind w:firstLine="567"/>
        <w:jc w:val="center"/>
        <w:rPr>
          <w:rFonts w:ascii="GHEA Grapalat" w:hAnsi="GHEA Grapalat" w:cs="Sylfaen"/>
          <w:sz w:val="24"/>
          <w:szCs w:val="24"/>
          <w:lang w:val="hy-AM"/>
        </w:rPr>
        <w:sectPr w:rsidR="001A0D00" w:rsidRPr="001A0D00" w:rsidSect="00C977AB">
          <w:pgSz w:w="11907" w:h="16840" w:code="9"/>
          <w:pgMar w:top="1418" w:right="837" w:bottom="1418" w:left="1418" w:header="0" w:footer="831" w:gutter="0"/>
          <w:pgNumType w:start="1"/>
          <w:cols w:space="720"/>
          <w:noEndnote/>
          <w:titlePg/>
          <w:docGrid w:linePitch="360"/>
        </w:sectPr>
      </w:pPr>
      <w:r w:rsidRPr="001A0D00">
        <w:rPr>
          <w:rFonts w:ascii="GHEA Grapalat" w:hAnsi="GHEA Grapalat" w:cs="Calibri"/>
          <w:b/>
          <w:i/>
          <w:sz w:val="24"/>
          <w:szCs w:val="24"/>
          <w:lang w:val="hy-AM"/>
        </w:rPr>
        <w:t xml:space="preserve">Արձանագրությունը </w:t>
      </w:r>
      <w:r w:rsidRPr="001A0D00">
        <w:rPr>
          <w:rFonts w:ascii="GHEA Grapalat" w:hAnsi="GHEA Grapalat" w:cs="Calibri"/>
          <w:b/>
          <w:i/>
          <w:sz w:val="24"/>
          <w:szCs w:val="24"/>
          <w:lang w:val="hy-AM"/>
        </w:rPr>
        <w:t xml:space="preserve">Հայաստանի Հանրապետության համար </w:t>
      </w:r>
      <w:r w:rsidRPr="001A0D00">
        <w:rPr>
          <w:rFonts w:ascii="GHEA Grapalat" w:hAnsi="GHEA Grapalat"/>
          <w:b/>
          <w:i/>
          <w:sz w:val="24"/>
          <w:szCs w:val="24"/>
          <w:lang w:val="hy-AM"/>
        </w:rPr>
        <w:t xml:space="preserve">ուժի մեջ է մտել </w:t>
      </w:r>
      <w:bookmarkStart w:id="19" w:name="_GoBack"/>
      <w:bookmarkEnd w:id="19"/>
      <w:r w:rsidRPr="001A0D00">
        <w:rPr>
          <w:rFonts w:ascii="GHEA Grapalat" w:hAnsi="GHEA Grapalat"/>
          <w:b/>
          <w:i/>
          <w:sz w:val="24"/>
          <w:szCs w:val="24"/>
          <w:lang w:val="hy-AM"/>
        </w:rPr>
        <w:t>2023թ. հունվարի</w:t>
      </w:r>
      <w:r w:rsidRPr="001A0D0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A0D00">
        <w:rPr>
          <w:rFonts w:ascii="GHEA Grapalat" w:hAnsi="GHEA Grapalat"/>
          <w:b/>
          <w:i/>
          <w:sz w:val="24"/>
          <w:szCs w:val="24"/>
          <w:lang w:val="hy-AM"/>
        </w:rPr>
        <w:t>25-ին</w:t>
      </w:r>
    </w:p>
    <w:p w14:paraId="1FF0E64D" w14:textId="70614613" w:rsidR="00DE0CCF" w:rsidRPr="00C977AB" w:rsidRDefault="00DE0CCF" w:rsidP="00C977AB">
      <w:pPr>
        <w:spacing w:line="276" w:lineRule="auto"/>
        <w:rPr>
          <w:rFonts w:ascii="GHEA Grapalat" w:hAnsi="GHEA Grapalat"/>
          <w:color w:val="auto"/>
        </w:rPr>
      </w:pPr>
    </w:p>
    <w:p w14:paraId="5ECA48D4" w14:textId="36F73C5D" w:rsidR="00DE0CCF" w:rsidRPr="001A0D00" w:rsidRDefault="00DE0CCF" w:rsidP="00C977AB">
      <w:pPr>
        <w:spacing w:line="276" w:lineRule="auto"/>
        <w:rPr>
          <w:rFonts w:ascii="GHEA Grapalat" w:hAnsi="GHEA Grapalat" w:cs="Times New Roman"/>
          <w:color w:val="auto"/>
        </w:rPr>
      </w:pPr>
    </w:p>
    <w:sectPr w:rsidR="00DE0CCF" w:rsidRPr="001A0D00" w:rsidSect="00C977AB">
      <w:pgSz w:w="11907" w:h="16840" w:code="9"/>
      <w:pgMar w:top="1418" w:right="837" w:bottom="1418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993B" w14:textId="77777777" w:rsidR="00FB0622" w:rsidRDefault="00FB0622" w:rsidP="00D93CBE">
      <w:r>
        <w:separator/>
      </w:r>
    </w:p>
  </w:endnote>
  <w:endnote w:type="continuationSeparator" w:id="0">
    <w:p w14:paraId="169F376A" w14:textId="77777777" w:rsidR="00FB0622" w:rsidRDefault="00FB0622" w:rsidP="00D9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242296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14:paraId="018FEAA1" w14:textId="329CAAAD" w:rsidR="00166B96" w:rsidRPr="00166B96" w:rsidRDefault="00F534B6" w:rsidP="00166B96">
        <w:pPr>
          <w:pStyle w:val="Footer"/>
          <w:jc w:val="center"/>
          <w:rPr>
            <w:rFonts w:ascii="GHEA Grapalat" w:hAnsi="GHEA Grapalat"/>
          </w:rPr>
        </w:pPr>
        <w:r w:rsidRPr="00166B96">
          <w:rPr>
            <w:rFonts w:ascii="GHEA Grapalat" w:hAnsi="GHEA Grapalat"/>
          </w:rPr>
          <w:fldChar w:fldCharType="begin"/>
        </w:r>
        <w:r w:rsidRPr="00166B96">
          <w:rPr>
            <w:rFonts w:ascii="GHEA Grapalat" w:hAnsi="GHEA Grapalat"/>
          </w:rPr>
          <w:instrText xml:space="preserve"> PAGE   \* MERGEFORMAT </w:instrText>
        </w:r>
        <w:r w:rsidRPr="00166B96">
          <w:rPr>
            <w:rFonts w:ascii="GHEA Grapalat" w:hAnsi="GHEA Grapalat"/>
          </w:rPr>
          <w:fldChar w:fldCharType="separate"/>
        </w:r>
        <w:r w:rsidR="001A0D00">
          <w:rPr>
            <w:rFonts w:ascii="GHEA Grapalat" w:hAnsi="GHEA Grapalat"/>
            <w:noProof/>
          </w:rPr>
          <w:t>5</w:t>
        </w:r>
        <w:r w:rsidRPr="00166B96">
          <w:rPr>
            <w:rFonts w:ascii="GHEA Grapalat" w:hAnsi="GHEA Grapala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78089" w14:textId="77777777" w:rsidR="00FB0622" w:rsidRDefault="00FB0622" w:rsidP="00D93CBE">
      <w:r>
        <w:separator/>
      </w:r>
    </w:p>
  </w:footnote>
  <w:footnote w:type="continuationSeparator" w:id="0">
    <w:p w14:paraId="63D82475" w14:textId="77777777" w:rsidR="00FB0622" w:rsidRDefault="00FB0622" w:rsidP="00D93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20"/>
    <w:rsid w:val="00016A53"/>
    <w:rsid w:val="000247C2"/>
    <w:rsid w:val="00097848"/>
    <w:rsid w:val="000E7330"/>
    <w:rsid w:val="00103320"/>
    <w:rsid w:val="00104149"/>
    <w:rsid w:val="00105A43"/>
    <w:rsid w:val="00105BE4"/>
    <w:rsid w:val="00115DD2"/>
    <w:rsid w:val="001A0D00"/>
    <w:rsid w:val="001B09A2"/>
    <w:rsid w:val="002B48F3"/>
    <w:rsid w:val="002C5BFB"/>
    <w:rsid w:val="002D0CB5"/>
    <w:rsid w:val="003109A4"/>
    <w:rsid w:val="0032530F"/>
    <w:rsid w:val="00353770"/>
    <w:rsid w:val="00375B35"/>
    <w:rsid w:val="003802ED"/>
    <w:rsid w:val="003D0D46"/>
    <w:rsid w:val="004C0783"/>
    <w:rsid w:val="004E1A1D"/>
    <w:rsid w:val="004F7344"/>
    <w:rsid w:val="005259F7"/>
    <w:rsid w:val="00540262"/>
    <w:rsid w:val="00560503"/>
    <w:rsid w:val="00575360"/>
    <w:rsid w:val="005D0C1A"/>
    <w:rsid w:val="00645B40"/>
    <w:rsid w:val="006A3745"/>
    <w:rsid w:val="006B5BEF"/>
    <w:rsid w:val="006C3086"/>
    <w:rsid w:val="006C6296"/>
    <w:rsid w:val="006F7AA6"/>
    <w:rsid w:val="00704FC4"/>
    <w:rsid w:val="0075297E"/>
    <w:rsid w:val="007B6A05"/>
    <w:rsid w:val="007D1237"/>
    <w:rsid w:val="007D3276"/>
    <w:rsid w:val="007E2531"/>
    <w:rsid w:val="00804216"/>
    <w:rsid w:val="00817262"/>
    <w:rsid w:val="00841F07"/>
    <w:rsid w:val="008A5C18"/>
    <w:rsid w:val="00955345"/>
    <w:rsid w:val="009A6076"/>
    <w:rsid w:val="00A37D8F"/>
    <w:rsid w:val="00A618AB"/>
    <w:rsid w:val="00A71BE5"/>
    <w:rsid w:val="00A75D04"/>
    <w:rsid w:val="00A777F2"/>
    <w:rsid w:val="00A77813"/>
    <w:rsid w:val="00B668C2"/>
    <w:rsid w:val="00B91CC9"/>
    <w:rsid w:val="00B9471F"/>
    <w:rsid w:val="00BD7754"/>
    <w:rsid w:val="00BE4397"/>
    <w:rsid w:val="00BF5341"/>
    <w:rsid w:val="00C13F7B"/>
    <w:rsid w:val="00C15783"/>
    <w:rsid w:val="00C33E2E"/>
    <w:rsid w:val="00C5092C"/>
    <w:rsid w:val="00C50F61"/>
    <w:rsid w:val="00C977AB"/>
    <w:rsid w:val="00CC5B55"/>
    <w:rsid w:val="00D01B81"/>
    <w:rsid w:val="00D13F00"/>
    <w:rsid w:val="00D32F46"/>
    <w:rsid w:val="00D448EF"/>
    <w:rsid w:val="00D752D7"/>
    <w:rsid w:val="00D77EB1"/>
    <w:rsid w:val="00D9020D"/>
    <w:rsid w:val="00D92366"/>
    <w:rsid w:val="00D93CBE"/>
    <w:rsid w:val="00DB2959"/>
    <w:rsid w:val="00DD2195"/>
    <w:rsid w:val="00DD2517"/>
    <w:rsid w:val="00DE0CCF"/>
    <w:rsid w:val="00DE548B"/>
    <w:rsid w:val="00DF0507"/>
    <w:rsid w:val="00E44F36"/>
    <w:rsid w:val="00E70545"/>
    <w:rsid w:val="00EA1B35"/>
    <w:rsid w:val="00EA71DC"/>
    <w:rsid w:val="00EC6955"/>
    <w:rsid w:val="00ED567C"/>
    <w:rsid w:val="00F534B6"/>
    <w:rsid w:val="00F85ED2"/>
    <w:rsid w:val="00F90CFF"/>
    <w:rsid w:val="00FA72C6"/>
    <w:rsid w:val="00FB0622"/>
    <w:rsid w:val="00FD2AFF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4481"/>
  <w15:docId w15:val="{BB3E196A-2D37-43FC-87CA-3B27EAE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0332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hy-AM" w:eastAsia="hy-AM" w:bidi="hy-AM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93CBE"/>
    <w:pPr>
      <w:keepNext/>
      <w:keepLines/>
      <w:spacing w:before="480" w:line="360" w:lineRule="auto"/>
      <w:jc w:val="center"/>
      <w:outlineLvl w:val="0"/>
    </w:pPr>
    <w:rPr>
      <w:rFonts w:ascii="GHEA Grapalat" w:eastAsiaTheme="majorEastAsia" w:hAnsi="GHEA Grapalat" w:cstheme="majorBidi"/>
      <w:b/>
      <w:bCs/>
      <w:color w:val="000000" w:themeColor="text1"/>
      <w:sz w:val="2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10332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rsid w:val="0010332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rsid w:val="001033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1033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1033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03320"/>
    <w:pPr>
      <w:shd w:val="clear" w:color="auto" w:fill="FFFFFF"/>
      <w:spacing w:before="360" w:after="8800" w:line="233" w:lineRule="auto"/>
      <w:jc w:val="center"/>
    </w:pPr>
    <w:rPr>
      <w:rFonts w:ascii="Times New Roman" w:eastAsia="Times New Roman" w:hAnsi="Times New Roman" w:cs="Times New Roman"/>
      <w:color w:val="auto"/>
      <w:sz w:val="30"/>
      <w:szCs w:val="30"/>
      <w:lang w:val="en-US" w:eastAsia="en-US" w:bidi="ar-SA"/>
    </w:rPr>
  </w:style>
  <w:style w:type="paragraph" w:customStyle="1" w:styleId="Picturecaption0">
    <w:name w:val="Picture caption"/>
    <w:basedOn w:val="Normal"/>
    <w:link w:val="Picturecaption"/>
    <w:rsid w:val="00103320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30"/>
      <w:szCs w:val="30"/>
      <w:lang w:val="en-US" w:eastAsia="en-US" w:bidi="ar-SA"/>
    </w:rPr>
  </w:style>
  <w:style w:type="paragraph" w:customStyle="1" w:styleId="Heading11">
    <w:name w:val="Heading #1"/>
    <w:basedOn w:val="Normal"/>
    <w:link w:val="Heading10"/>
    <w:rsid w:val="00103320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customStyle="1" w:styleId="BodyText1">
    <w:name w:val="Body Text1"/>
    <w:basedOn w:val="Normal"/>
    <w:link w:val="Bodytext"/>
    <w:qFormat/>
    <w:rsid w:val="00103320"/>
    <w:pPr>
      <w:shd w:val="clear" w:color="auto" w:fill="FFFFFF"/>
      <w:spacing w:after="260"/>
      <w:ind w:firstLine="2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Other0">
    <w:name w:val="Other"/>
    <w:basedOn w:val="Normal"/>
    <w:link w:val="Other"/>
    <w:rsid w:val="00103320"/>
    <w:pPr>
      <w:shd w:val="clear" w:color="auto" w:fill="FFFFFF"/>
      <w:spacing w:after="260"/>
      <w:ind w:firstLine="2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1033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320"/>
    <w:rPr>
      <w:rFonts w:ascii="Microsoft Sans Serif" w:eastAsia="Microsoft Sans Serif" w:hAnsi="Microsoft Sans Serif" w:cs="Microsoft Sans Serif"/>
      <w:color w:val="000000"/>
      <w:sz w:val="24"/>
      <w:szCs w:val="24"/>
      <w:lang w:val="hy-AM" w:eastAsia="hy-AM" w:bidi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320"/>
    <w:rPr>
      <w:rFonts w:ascii="Tahoma" w:eastAsia="Microsoft Sans Serif" w:hAnsi="Tahoma" w:cs="Tahoma"/>
      <w:color w:val="000000"/>
      <w:sz w:val="16"/>
      <w:szCs w:val="16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D93CBE"/>
    <w:rPr>
      <w:rFonts w:ascii="GHEA Grapalat" w:eastAsiaTheme="majorEastAsia" w:hAnsi="GHEA Grapalat" w:cstheme="majorBidi"/>
      <w:b/>
      <w:bCs/>
      <w:color w:val="000000" w:themeColor="text1"/>
      <w:szCs w:val="28"/>
      <w:lang w:val="hy-AM" w:eastAsia="hy-AM" w:bidi="hy-AM"/>
    </w:rPr>
  </w:style>
  <w:style w:type="character" w:customStyle="1" w:styleId="Heading2Char">
    <w:name w:val="Heading 2 Char"/>
    <w:basedOn w:val="DefaultParagraphFont"/>
    <w:link w:val="Heading2"/>
    <w:uiPriority w:val="9"/>
    <w:rsid w:val="00103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y-AM" w:eastAsia="hy-AM" w:bidi="hy-AM"/>
    </w:rPr>
  </w:style>
  <w:style w:type="paragraph" w:styleId="Header">
    <w:name w:val="header"/>
    <w:basedOn w:val="Normal"/>
    <w:link w:val="HeaderChar"/>
    <w:uiPriority w:val="99"/>
    <w:unhideWhenUsed/>
    <w:rsid w:val="00D93C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CBE"/>
    <w:rPr>
      <w:rFonts w:ascii="Microsoft Sans Serif" w:eastAsia="Microsoft Sans Serif" w:hAnsi="Microsoft Sans Serif" w:cs="Microsoft Sans Serif"/>
      <w:color w:val="000000"/>
      <w:sz w:val="24"/>
      <w:szCs w:val="24"/>
      <w:lang w:val="hy-AM" w:eastAsia="hy-AM" w:bidi="hy-AM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93CBE"/>
    <w:pPr>
      <w:pBdr>
        <w:bottom w:val="single" w:sz="8" w:space="4" w:color="4F81BD" w:themeColor="accent1"/>
      </w:pBdr>
      <w:spacing w:after="300" w:line="360" w:lineRule="auto"/>
      <w:contextualSpacing/>
      <w:jc w:val="center"/>
    </w:pPr>
    <w:rPr>
      <w:rFonts w:ascii="GHEA Grapalat" w:eastAsiaTheme="majorEastAsia" w:hAnsi="GHEA Grapalat" w:cstheme="majorBidi"/>
      <w:b/>
      <w:color w:val="auto"/>
      <w:spacing w:val="5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D93CBE"/>
    <w:rPr>
      <w:rFonts w:ascii="GHEA Grapalat" w:eastAsiaTheme="majorEastAsia" w:hAnsi="GHEA Grapalat" w:cstheme="majorBidi"/>
      <w:b/>
      <w:spacing w:val="5"/>
      <w:kern w:val="28"/>
      <w:sz w:val="24"/>
      <w:szCs w:val="24"/>
      <w:lang w:val="hy-AM" w:eastAsia="hy-AM" w:bidi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097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8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848"/>
    <w:rPr>
      <w:rFonts w:ascii="Microsoft Sans Serif" w:eastAsia="Microsoft Sans Serif" w:hAnsi="Microsoft Sans Serif" w:cs="Microsoft Sans Serif"/>
      <w:color w:val="000000"/>
      <w:sz w:val="20"/>
      <w:szCs w:val="20"/>
      <w:lang w:val="hy-AM" w:eastAsia="hy-AM" w:bidi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848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val="hy-AM" w:eastAsia="hy-AM" w:bidi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1489</Words>
  <Characters>8493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Mushegh.Hovsepyan</dc:creator>
  <cp:keywords>https:/mul2-mfa.gov.am/tasks/70332/oneclick/KamyntirArdzanagrutyun.docx?token=8c1546ae972772f1da8791551675da5f</cp:keywords>
  <cp:lastModifiedBy>MFA</cp:lastModifiedBy>
  <cp:revision>5</cp:revision>
  <cp:lastPrinted>2019-07-09T12:17:00Z</cp:lastPrinted>
  <dcterms:created xsi:type="dcterms:W3CDTF">2020-04-28T11:24:00Z</dcterms:created>
  <dcterms:modified xsi:type="dcterms:W3CDTF">2023-09-18T07:48:00Z</dcterms:modified>
</cp:coreProperties>
</file>